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2967" w14:textId="77777777" w:rsidR="003D3F40" w:rsidRDefault="003D3F40" w:rsidP="00E23FC3">
      <w:pPr>
        <w:ind w:right="-589" w:hanging="851"/>
        <w:rPr>
          <w:b/>
          <w:color w:val="4F6228" w:themeColor="accent3" w:themeShade="80"/>
          <w:sz w:val="24"/>
          <w:szCs w:val="24"/>
          <w:highlight w:val="lightGray"/>
        </w:rPr>
      </w:pPr>
      <w:bookmarkStart w:id="0" w:name="_GoBack"/>
      <w:bookmarkEnd w:id="0"/>
    </w:p>
    <w:tbl>
      <w:tblPr>
        <w:tblStyle w:val="TableGrid"/>
        <w:tblW w:w="22397" w:type="dxa"/>
        <w:tblInd w:w="-601" w:type="dxa"/>
        <w:tblLook w:val="04A0" w:firstRow="1" w:lastRow="0" w:firstColumn="1" w:lastColumn="0" w:noHBand="0" w:noVBand="1"/>
      </w:tblPr>
      <w:tblGrid>
        <w:gridCol w:w="6946"/>
        <w:gridCol w:w="6096"/>
        <w:gridCol w:w="4536"/>
        <w:gridCol w:w="4819"/>
      </w:tblGrid>
      <w:tr w:rsidR="0001550E" w14:paraId="092E451C" w14:textId="77777777" w:rsidTr="007630A0">
        <w:tc>
          <w:tcPr>
            <w:tcW w:w="6946" w:type="dxa"/>
            <w:tcBorders>
              <w:top w:val="nil"/>
              <w:left w:val="nil"/>
              <w:bottom w:val="nil"/>
              <w:right w:val="single" w:sz="4" w:space="0" w:color="auto"/>
            </w:tcBorders>
          </w:tcPr>
          <w:p w14:paraId="5D50D041" w14:textId="77777777" w:rsidR="0001550E" w:rsidRDefault="0001550E" w:rsidP="003D3F40">
            <w:pPr>
              <w:ind w:right="-589" w:firstLine="34"/>
              <w:rPr>
                <w:b/>
                <w:color w:val="4F6228" w:themeColor="accent3" w:themeShade="80"/>
                <w:sz w:val="24"/>
                <w:szCs w:val="24"/>
                <w:highlight w:val="lightGray"/>
              </w:rPr>
            </w:pPr>
          </w:p>
          <w:p w14:paraId="00522C40" w14:textId="77777777" w:rsidR="0001550E" w:rsidRDefault="0001550E" w:rsidP="003D3F40">
            <w:pPr>
              <w:ind w:right="-589" w:firstLine="34"/>
              <w:rPr>
                <w:b/>
                <w:color w:val="4F6228" w:themeColor="accent3" w:themeShade="80"/>
                <w:sz w:val="24"/>
                <w:szCs w:val="24"/>
                <w:highlight w:val="lightGray"/>
              </w:rPr>
            </w:pPr>
          </w:p>
          <w:p w14:paraId="5D43C9B5" w14:textId="37C44A96" w:rsidR="0001550E" w:rsidRPr="00CC615B" w:rsidRDefault="00836F22" w:rsidP="003D3F40">
            <w:pPr>
              <w:ind w:right="-589" w:firstLine="34"/>
              <w:rPr>
                <w:b/>
                <w:color w:val="4F6228" w:themeColor="accent3" w:themeShade="80"/>
                <w:sz w:val="28"/>
                <w:szCs w:val="28"/>
              </w:rPr>
            </w:pPr>
            <w:r>
              <w:rPr>
                <w:b/>
                <w:color w:val="4F6228" w:themeColor="accent3" w:themeShade="80"/>
                <w:sz w:val="24"/>
                <w:szCs w:val="24"/>
              </w:rPr>
              <w:t>08815 Yarra Hills Secondary College -</w:t>
            </w:r>
            <w:r>
              <w:rPr>
                <w:b/>
                <w:color w:val="4F6228" w:themeColor="accent3" w:themeShade="80"/>
                <w:sz w:val="28"/>
                <w:szCs w:val="28"/>
              </w:rPr>
              <w:t xml:space="preserve"> Strategic Plan 2016</w:t>
            </w:r>
            <w:r w:rsidR="0001550E">
              <w:rPr>
                <w:b/>
                <w:color w:val="4F6228" w:themeColor="accent3" w:themeShade="80"/>
                <w:sz w:val="28"/>
                <w:szCs w:val="28"/>
              </w:rPr>
              <w:t>-</w:t>
            </w:r>
            <w:r w:rsidR="0001550E" w:rsidRPr="00CC615B">
              <w:rPr>
                <w:b/>
                <w:color w:val="4F6228" w:themeColor="accent3" w:themeShade="80"/>
                <w:sz w:val="28"/>
                <w:szCs w:val="28"/>
              </w:rPr>
              <w:t>20</w:t>
            </w:r>
            <w:r>
              <w:rPr>
                <w:b/>
                <w:color w:val="4F6228" w:themeColor="accent3" w:themeShade="80"/>
                <w:sz w:val="28"/>
                <w:szCs w:val="28"/>
              </w:rPr>
              <w:t>19</w:t>
            </w:r>
          </w:p>
          <w:p w14:paraId="5443513F" w14:textId="77777777" w:rsidR="0001550E" w:rsidRDefault="0001550E" w:rsidP="00E23FC3">
            <w:pPr>
              <w:ind w:right="-589"/>
              <w:rPr>
                <w:b/>
                <w:color w:val="4F6228" w:themeColor="accent3" w:themeShade="80"/>
                <w:sz w:val="24"/>
                <w:szCs w:val="24"/>
                <w:highlight w:val="lightGray"/>
              </w:rPr>
            </w:pPr>
          </w:p>
        </w:tc>
        <w:tc>
          <w:tcPr>
            <w:tcW w:w="6096" w:type="dxa"/>
            <w:tcBorders>
              <w:left w:val="single" w:sz="4" w:space="0" w:color="auto"/>
              <w:right w:val="nil"/>
            </w:tcBorders>
          </w:tcPr>
          <w:p w14:paraId="0104ECDB" w14:textId="77777777" w:rsidR="0001550E" w:rsidRPr="00300E45" w:rsidRDefault="0001550E" w:rsidP="003D3F40">
            <w:pPr>
              <w:ind w:right="-52"/>
              <w:rPr>
                <w:b/>
                <w:sz w:val="18"/>
                <w:szCs w:val="18"/>
              </w:rPr>
            </w:pPr>
            <w:r>
              <w:rPr>
                <w:b/>
                <w:sz w:val="18"/>
                <w:szCs w:val="18"/>
              </w:rPr>
              <w:t>E</w:t>
            </w:r>
            <w:r w:rsidRPr="00300E45">
              <w:rPr>
                <w:b/>
                <w:sz w:val="18"/>
                <w:szCs w:val="18"/>
              </w:rPr>
              <w:t>ndorsement</w:t>
            </w:r>
          </w:p>
          <w:p w14:paraId="34FF363F" w14:textId="1FD684AA" w:rsidR="0001550E"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Principal:</w:t>
            </w:r>
            <w:r w:rsidRPr="00300E45">
              <w:rPr>
                <w:sz w:val="18"/>
                <w:szCs w:val="18"/>
              </w:rPr>
              <w:tab/>
            </w:r>
            <w:r w:rsidRPr="00300E45">
              <w:rPr>
                <w:sz w:val="18"/>
                <w:szCs w:val="18"/>
              </w:rPr>
              <w:tab/>
            </w:r>
            <w:r>
              <w:rPr>
                <w:sz w:val="18"/>
                <w:szCs w:val="18"/>
              </w:rPr>
              <w:tab/>
            </w:r>
            <w:r w:rsidR="00836F22">
              <w:rPr>
                <w:sz w:val="18"/>
                <w:szCs w:val="18"/>
              </w:rPr>
              <w:t>Darren Trippett</w:t>
            </w:r>
            <w:r w:rsidRPr="009C1955">
              <w:rPr>
                <w:sz w:val="18"/>
                <w:szCs w:val="18"/>
              </w:rPr>
              <w:tab/>
            </w:r>
            <w:r w:rsidRPr="00907788">
              <w:rPr>
                <w:sz w:val="18"/>
                <w:szCs w:val="18"/>
                <w:highlight w:val="lightGray"/>
              </w:rPr>
              <w:t>[date]</w:t>
            </w:r>
          </w:p>
          <w:p w14:paraId="3DD0DA91" w14:textId="0004DB23" w:rsidR="0001550E" w:rsidRPr="00300E45"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School </w:t>
            </w:r>
            <w:r>
              <w:rPr>
                <w:sz w:val="18"/>
                <w:szCs w:val="18"/>
              </w:rPr>
              <w:t>c</w:t>
            </w:r>
            <w:r w:rsidRPr="00300E45">
              <w:rPr>
                <w:sz w:val="18"/>
                <w:szCs w:val="18"/>
              </w:rPr>
              <w:t>ouncil:</w:t>
            </w:r>
            <w:r>
              <w:rPr>
                <w:sz w:val="18"/>
                <w:szCs w:val="18"/>
              </w:rPr>
              <w:tab/>
            </w:r>
            <w:r>
              <w:rPr>
                <w:sz w:val="18"/>
                <w:szCs w:val="18"/>
              </w:rPr>
              <w:tab/>
            </w:r>
            <w:r w:rsidR="00836F22">
              <w:rPr>
                <w:sz w:val="18"/>
                <w:szCs w:val="18"/>
              </w:rPr>
              <w:t>Kevin Rolston</w:t>
            </w:r>
            <w:r>
              <w:rPr>
                <w:sz w:val="18"/>
                <w:szCs w:val="18"/>
              </w:rPr>
              <w:tab/>
            </w:r>
            <w:r w:rsidRPr="00907788">
              <w:rPr>
                <w:sz w:val="18"/>
                <w:szCs w:val="18"/>
                <w:highlight w:val="lightGray"/>
              </w:rPr>
              <w:t>[date]</w:t>
            </w:r>
          </w:p>
          <w:p w14:paraId="105DBD31" w14:textId="77777777" w:rsidR="0001550E" w:rsidRDefault="0001550E" w:rsidP="003D3F40">
            <w:pPr>
              <w:tabs>
                <w:tab w:val="left" w:pos="5954"/>
                <w:tab w:val="left" w:pos="7371"/>
                <w:tab w:val="left" w:leader="dot" w:pos="9639"/>
                <w:tab w:val="left" w:pos="11199"/>
              </w:tabs>
              <w:ind w:right="-51"/>
              <w:rPr>
                <w:sz w:val="18"/>
                <w:szCs w:val="18"/>
              </w:rPr>
            </w:pPr>
            <w:r w:rsidRPr="00300E45">
              <w:rPr>
                <w:sz w:val="18"/>
                <w:szCs w:val="18"/>
              </w:rPr>
              <w:t xml:space="preserve">Delegate of the </w:t>
            </w:r>
          </w:p>
          <w:p w14:paraId="3590C49D" w14:textId="6B785689" w:rsidR="0001550E" w:rsidRDefault="0001550E" w:rsidP="003D3F40">
            <w:pPr>
              <w:tabs>
                <w:tab w:val="left" w:pos="993"/>
                <w:tab w:val="left" w:leader="dot" w:pos="3686"/>
                <w:tab w:val="left" w:pos="3828"/>
                <w:tab w:val="left" w:pos="5245"/>
                <w:tab w:val="left" w:pos="5954"/>
              </w:tabs>
              <w:spacing w:line="360" w:lineRule="auto"/>
              <w:ind w:right="-51"/>
              <w:rPr>
                <w:b/>
                <w:color w:val="4F6228" w:themeColor="accent3" w:themeShade="80"/>
                <w:sz w:val="24"/>
                <w:szCs w:val="24"/>
                <w:highlight w:val="lightGray"/>
              </w:rPr>
            </w:pPr>
            <w:r w:rsidRPr="00300E45">
              <w:rPr>
                <w:sz w:val="18"/>
                <w:szCs w:val="18"/>
              </w:rPr>
              <w:t>Secretary:</w:t>
            </w:r>
            <w:r w:rsidRPr="00300E45">
              <w:rPr>
                <w:sz w:val="18"/>
                <w:szCs w:val="18"/>
              </w:rPr>
              <w:tab/>
            </w:r>
            <w:r>
              <w:rPr>
                <w:sz w:val="18"/>
                <w:szCs w:val="18"/>
              </w:rPr>
              <w:tab/>
            </w:r>
            <w:r>
              <w:rPr>
                <w:sz w:val="18"/>
                <w:szCs w:val="18"/>
              </w:rPr>
              <w:tab/>
            </w:r>
            <w:r w:rsidRPr="00907788">
              <w:rPr>
                <w:sz w:val="18"/>
                <w:szCs w:val="18"/>
                <w:highlight w:val="lightGray"/>
              </w:rPr>
              <w:t>[name]</w:t>
            </w:r>
            <w:r>
              <w:rPr>
                <w:sz w:val="18"/>
                <w:szCs w:val="18"/>
              </w:rPr>
              <w:tab/>
            </w:r>
            <w:r w:rsidRPr="00907788">
              <w:rPr>
                <w:sz w:val="18"/>
                <w:szCs w:val="18"/>
                <w:highlight w:val="lightGray"/>
              </w:rPr>
              <w:t>[date]</w:t>
            </w:r>
            <w:r>
              <w:rPr>
                <w:sz w:val="18"/>
                <w:szCs w:val="18"/>
              </w:rPr>
              <w:t xml:space="preserve">   </w:t>
            </w:r>
          </w:p>
        </w:tc>
        <w:tc>
          <w:tcPr>
            <w:tcW w:w="4536" w:type="dxa"/>
            <w:tcBorders>
              <w:left w:val="nil"/>
              <w:right w:val="nil"/>
            </w:tcBorders>
          </w:tcPr>
          <w:p w14:paraId="333F1444" w14:textId="39A6728B" w:rsidR="0001550E" w:rsidRPr="000940D9" w:rsidRDefault="0001550E" w:rsidP="0001550E">
            <w:pPr>
              <w:ind w:right="-52"/>
              <w:rPr>
                <w:sz w:val="18"/>
                <w:szCs w:val="18"/>
              </w:rPr>
            </w:pPr>
            <w:r>
              <w:rPr>
                <w:b/>
                <w:sz w:val="18"/>
                <w:szCs w:val="18"/>
              </w:rPr>
              <w:t>Re-E</w:t>
            </w:r>
            <w:r w:rsidRPr="00300E45">
              <w:rPr>
                <w:b/>
                <w:sz w:val="18"/>
                <w:szCs w:val="18"/>
              </w:rPr>
              <w:t>ndorsement</w:t>
            </w:r>
            <w:r w:rsidR="004E7450">
              <w:rPr>
                <w:b/>
                <w:sz w:val="18"/>
                <w:szCs w:val="18"/>
              </w:rPr>
              <w:t xml:space="preserve"> </w:t>
            </w:r>
            <w:r w:rsidRPr="000940D9">
              <w:rPr>
                <w:sz w:val="18"/>
                <w:szCs w:val="18"/>
              </w:rPr>
              <w:t>(if a Goal, KIS or Target is change</w:t>
            </w:r>
            <w:r>
              <w:rPr>
                <w:sz w:val="18"/>
                <w:szCs w:val="18"/>
              </w:rPr>
              <w:t>d</w:t>
            </w:r>
            <w:r w:rsidRPr="000940D9">
              <w:rPr>
                <w:sz w:val="18"/>
                <w:szCs w:val="18"/>
              </w:rPr>
              <w:t>)</w:t>
            </w:r>
          </w:p>
          <w:p w14:paraId="32CEF18F" w14:textId="16EBE3D6" w:rsidR="0001550E"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0001550E" w:rsidRPr="00907788">
              <w:rPr>
                <w:sz w:val="18"/>
                <w:szCs w:val="18"/>
                <w:highlight w:val="lightGray"/>
              </w:rPr>
              <w:t>[name]</w:t>
            </w:r>
            <w:r w:rsidR="0001550E" w:rsidRPr="009C1955">
              <w:rPr>
                <w:sz w:val="18"/>
                <w:szCs w:val="18"/>
              </w:rPr>
              <w:tab/>
            </w:r>
            <w:r w:rsidR="0001550E" w:rsidRPr="00907788">
              <w:rPr>
                <w:sz w:val="18"/>
                <w:szCs w:val="18"/>
                <w:highlight w:val="lightGray"/>
              </w:rPr>
              <w:t>[date]</w:t>
            </w:r>
          </w:p>
          <w:p w14:paraId="738C3EE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5AE3FE25" w14:textId="77777777" w:rsidR="007630A0" w:rsidRDefault="007630A0" w:rsidP="0001550E">
            <w:pPr>
              <w:tabs>
                <w:tab w:val="left" w:pos="5954"/>
                <w:tab w:val="left" w:pos="7371"/>
                <w:tab w:val="left" w:leader="dot" w:pos="9639"/>
                <w:tab w:val="left" w:pos="11199"/>
              </w:tabs>
              <w:ind w:right="-51"/>
              <w:rPr>
                <w:sz w:val="18"/>
                <w:szCs w:val="18"/>
              </w:rPr>
            </w:pPr>
          </w:p>
          <w:p w14:paraId="1A0C2A99" w14:textId="45AB7650" w:rsidR="0001550E" w:rsidRPr="007630A0" w:rsidRDefault="007630A0" w:rsidP="007630A0">
            <w:pPr>
              <w:tabs>
                <w:tab w:val="left" w:pos="993"/>
                <w:tab w:val="left" w:leader="dot" w:pos="3686"/>
                <w:tab w:val="left" w:pos="3828"/>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c>
          <w:tcPr>
            <w:tcW w:w="4819" w:type="dxa"/>
            <w:tcBorders>
              <w:left w:val="nil"/>
            </w:tcBorders>
          </w:tcPr>
          <w:p w14:paraId="3F452CE0" w14:textId="18064138" w:rsidR="0001550E" w:rsidRDefault="0001550E" w:rsidP="003D3F40">
            <w:pPr>
              <w:ind w:right="-52"/>
              <w:rPr>
                <w:b/>
                <w:sz w:val="18"/>
                <w:szCs w:val="18"/>
              </w:rPr>
            </w:pPr>
            <w:r>
              <w:rPr>
                <w:b/>
                <w:sz w:val="18"/>
                <w:szCs w:val="18"/>
              </w:rPr>
              <w:t>Re-e</w:t>
            </w:r>
            <w:r w:rsidRPr="00300E45">
              <w:rPr>
                <w:b/>
                <w:sz w:val="18"/>
                <w:szCs w:val="18"/>
              </w:rPr>
              <w:t>ndorsement</w:t>
            </w:r>
            <w:r w:rsidR="004E7450">
              <w:rPr>
                <w:b/>
                <w:sz w:val="18"/>
                <w:szCs w:val="18"/>
              </w:rPr>
              <w:t xml:space="preserve"> </w:t>
            </w:r>
            <w:r w:rsidR="007630A0" w:rsidRPr="000940D9">
              <w:rPr>
                <w:sz w:val="18"/>
                <w:szCs w:val="18"/>
              </w:rPr>
              <w:t>(if a Goal, KIS or Target is change</w:t>
            </w:r>
            <w:r w:rsidR="007630A0">
              <w:rPr>
                <w:sz w:val="18"/>
                <w:szCs w:val="18"/>
              </w:rPr>
              <w:t>d</w:t>
            </w:r>
            <w:r w:rsidR="007630A0" w:rsidRPr="000940D9">
              <w:rPr>
                <w:sz w:val="18"/>
                <w:szCs w:val="18"/>
              </w:rPr>
              <w:t>)</w:t>
            </w:r>
          </w:p>
          <w:p w14:paraId="27C6ADD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C070764"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4B3405A" w14:textId="77777777" w:rsidR="007630A0" w:rsidRDefault="007630A0" w:rsidP="007630A0">
            <w:pPr>
              <w:tabs>
                <w:tab w:val="left" w:pos="5954"/>
                <w:tab w:val="left" w:pos="7371"/>
                <w:tab w:val="left" w:leader="dot" w:pos="9639"/>
                <w:tab w:val="left" w:pos="11199"/>
              </w:tabs>
              <w:ind w:right="-51"/>
              <w:rPr>
                <w:sz w:val="18"/>
                <w:szCs w:val="18"/>
              </w:rPr>
            </w:pPr>
          </w:p>
          <w:p w14:paraId="0DD39600" w14:textId="6BB878EF" w:rsidR="0001550E" w:rsidRDefault="007630A0" w:rsidP="007630A0">
            <w:pPr>
              <w:tabs>
                <w:tab w:val="left" w:pos="993"/>
                <w:tab w:val="left" w:leader="dot" w:pos="3686"/>
                <w:tab w:val="left" w:pos="3828"/>
                <w:tab w:val="left" w:pos="5245"/>
                <w:tab w:val="left" w:pos="5954"/>
                <w:tab w:val="left" w:leader="dot" w:pos="9356"/>
                <w:tab w:val="left" w:pos="9639"/>
                <w:tab w:val="left" w:pos="11199"/>
              </w:tabs>
              <w:ind w:right="-51"/>
              <w:rPr>
                <w:b/>
                <w:color w:val="4F6228" w:themeColor="accent3" w:themeShade="80"/>
                <w:sz w:val="24"/>
                <w:szCs w:val="24"/>
                <w:highlight w:val="lightGray"/>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r>
    </w:tbl>
    <w:p w14:paraId="63C066B6" w14:textId="77777777" w:rsidR="000940D9" w:rsidRDefault="000940D9" w:rsidP="00C57A73">
      <w:pPr>
        <w:spacing w:after="120"/>
      </w:pPr>
    </w:p>
    <w:tbl>
      <w:tblPr>
        <w:tblStyle w:val="TableGrid"/>
        <w:tblW w:w="22539" w:type="dxa"/>
        <w:tblInd w:w="-743" w:type="dxa"/>
        <w:tblLook w:val="04A0" w:firstRow="1" w:lastRow="0" w:firstColumn="1" w:lastColumn="0" w:noHBand="0" w:noVBand="1"/>
      </w:tblPr>
      <w:tblGrid>
        <w:gridCol w:w="2836"/>
        <w:gridCol w:w="3402"/>
        <w:gridCol w:w="9922"/>
        <w:gridCol w:w="6379"/>
      </w:tblGrid>
      <w:tr w:rsidR="00B85BE6" w14:paraId="6C64BF12" w14:textId="77777777" w:rsidTr="00677C85">
        <w:tc>
          <w:tcPr>
            <w:tcW w:w="2836" w:type="dxa"/>
            <w:shd w:val="clear" w:color="auto" w:fill="C2D69B" w:themeFill="accent3" w:themeFillTint="99"/>
          </w:tcPr>
          <w:p w14:paraId="40E92809" w14:textId="2B0783E9" w:rsidR="00B85BE6" w:rsidRDefault="00B85BE6" w:rsidP="00B85BE6">
            <w:pPr>
              <w:spacing w:before="120"/>
              <w:rPr>
                <w:b/>
                <w:sz w:val="18"/>
                <w:szCs w:val="18"/>
              </w:rPr>
            </w:pPr>
            <w:r>
              <w:rPr>
                <w:b/>
                <w:sz w:val="18"/>
                <w:szCs w:val="18"/>
              </w:rPr>
              <w:t>School vision</w:t>
            </w:r>
          </w:p>
        </w:tc>
        <w:tc>
          <w:tcPr>
            <w:tcW w:w="3402" w:type="dxa"/>
            <w:shd w:val="clear" w:color="auto" w:fill="C2D69B" w:themeFill="accent3" w:themeFillTint="99"/>
          </w:tcPr>
          <w:p w14:paraId="54238858" w14:textId="1434D5CE" w:rsidR="00B85BE6" w:rsidRDefault="00B85BE6" w:rsidP="00B85BE6">
            <w:pPr>
              <w:spacing w:before="120"/>
              <w:rPr>
                <w:b/>
                <w:sz w:val="18"/>
                <w:szCs w:val="18"/>
              </w:rPr>
            </w:pPr>
            <w:r>
              <w:rPr>
                <w:b/>
                <w:sz w:val="18"/>
                <w:szCs w:val="18"/>
              </w:rPr>
              <w:t>School values</w:t>
            </w:r>
          </w:p>
        </w:tc>
        <w:tc>
          <w:tcPr>
            <w:tcW w:w="9922" w:type="dxa"/>
            <w:tcBorders>
              <w:bottom w:val="single" w:sz="4" w:space="0" w:color="auto"/>
            </w:tcBorders>
            <w:shd w:val="clear" w:color="auto" w:fill="C2D69B" w:themeFill="accent3" w:themeFillTint="99"/>
          </w:tcPr>
          <w:p w14:paraId="35B2B76A" w14:textId="424E56C4" w:rsidR="00B85BE6" w:rsidRPr="00907788" w:rsidRDefault="006569E2" w:rsidP="00B85BE6">
            <w:pPr>
              <w:spacing w:before="120"/>
              <w:rPr>
                <w:b/>
                <w:sz w:val="18"/>
                <w:szCs w:val="18"/>
              </w:rPr>
            </w:pPr>
            <w:r>
              <w:rPr>
                <w:b/>
                <w:sz w:val="18"/>
                <w:szCs w:val="18"/>
              </w:rPr>
              <w:t>Context and challenges</w:t>
            </w:r>
          </w:p>
          <w:p w14:paraId="3466307B" w14:textId="70531207" w:rsidR="00B85BE6" w:rsidRDefault="00B85BE6" w:rsidP="00B85BE6">
            <w:pPr>
              <w:spacing w:before="120"/>
              <w:rPr>
                <w:b/>
                <w:sz w:val="18"/>
                <w:szCs w:val="18"/>
              </w:rPr>
            </w:pPr>
          </w:p>
        </w:tc>
        <w:tc>
          <w:tcPr>
            <w:tcW w:w="6379" w:type="dxa"/>
            <w:shd w:val="clear" w:color="auto" w:fill="C2D69B" w:themeFill="accent3" w:themeFillTint="99"/>
          </w:tcPr>
          <w:p w14:paraId="369EBA9A" w14:textId="7E7363B5" w:rsidR="00B85BE6" w:rsidRPr="00907788" w:rsidRDefault="006569E2" w:rsidP="00665F3B">
            <w:pPr>
              <w:spacing w:before="120"/>
              <w:ind w:right="-108"/>
              <w:rPr>
                <w:b/>
                <w:sz w:val="18"/>
                <w:szCs w:val="18"/>
              </w:rPr>
            </w:pPr>
            <w:r>
              <w:rPr>
                <w:b/>
                <w:sz w:val="18"/>
                <w:szCs w:val="18"/>
              </w:rPr>
              <w:t xml:space="preserve">Intent, </w:t>
            </w:r>
            <w:r w:rsidR="003A73ED">
              <w:rPr>
                <w:b/>
                <w:sz w:val="18"/>
                <w:szCs w:val="18"/>
              </w:rPr>
              <w:t xml:space="preserve">rationale and </w:t>
            </w:r>
            <w:r>
              <w:rPr>
                <w:b/>
                <w:sz w:val="18"/>
                <w:szCs w:val="18"/>
              </w:rPr>
              <w:t>focus</w:t>
            </w:r>
          </w:p>
          <w:p w14:paraId="710AC9D5" w14:textId="4E2B7CE3" w:rsidR="00B85BE6" w:rsidRDefault="00B85BE6" w:rsidP="00B85BE6">
            <w:pPr>
              <w:spacing w:before="120"/>
              <w:rPr>
                <w:b/>
                <w:sz w:val="18"/>
                <w:szCs w:val="18"/>
              </w:rPr>
            </w:pPr>
          </w:p>
        </w:tc>
      </w:tr>
      <w:tr w:rsidR="00B85BE6" w14:paraId="0638071A" w14:textId="77777777" w:rsidTr="00677C85">
        <w:trPr>
          <w:trHeight w:val="220"/>
        </w:trPr>
        <w:tc>
          <w:tcPr>
            <w:tcW w:w="2836" w:type="dxa"/>
            <w:vMerge w:val="restart"/>
          </w:tcPr>
          <w:p w14:paraId="3FCDBE23" w14:textId="08633500" w:rsidR="00B85BE6" w:rsidRPr="008A7EAA" w:rsidRDefault="00820BCA" w:rsidP="00B85BE6">
            <w:pPr>
              <w:rPr>
                <w:sz w:val="18"/>
                <w:szCs w:val="18"/>
              </w:rPr>
            </w:pPr>
            <w:r>
              <w:rPr>
                <w:sz w:val="18"/>
                <w:szCs w:val="18"/>
              </w:rPr>
              <w:t>Yarra Hills Secondary College’s vision is to provide the best possible learning experience and environment for all students, facilitate maximum personal growth and to be the school of choice in the local community.</w:t>
            </w:r>
          </w:p>
          <w:p w14:paraId="53040886" w14:textId="77777777" w:rsidR="00B85BE6" w:rsidRDefault="00B85BE6" w:rsidP="00B85BE6">
            <w:pPr>
              <w:rPr>
                <w:sz w:val="18"/>
                <w:szCs w:val="18"/>
              </w:rPr>
            </w:pPr>
          </w:p>
          <w:p w14:paraId="5CC7E547" w14:textId="77777777" w:rsidR="00B85BE6" w:rsidRDefault="00B85BE6" w:rsidP="00B85BE6">
            <w:pPr>
              <w:rPr>
                <w:b/>
                <w:sz w:val="18"/>
                <w:szCs w:val="18"/>
              </w:rPr>
            </w:pPr>
          </w:p>
          <w:p w14:paraId="7BB3C482" w14:textId="77777777" w:rsidR="00B85BE6" w:rsidRDefault="00B85BE6" w:rsidP="00B85BE6">
            <w:pPr>
              <w:rPr>
                <w:sz w:val="18"/>
                <w:szCs w:val="18"/>
                <w:highlight w:val="lightGray"/>
              </w:rPr>
            </w:pPr>
          </w:p>
        </w:tc>
        <w:tc>
          <w:tcPr>
            <w:tcW w:w="3402" w:type="dxa"/>
            <w:vMerge w:val="restart"/>
          </w:tcPr>
          <w:p w14:paraId="6E218D19" w14:textId="47F0DBCA" w:rsidR="00B85BE6" w:rsidRDefault="00610295" w:rsidP="00B85BE6">
            <w:pPr>
              <w:rPr>
                <w:sz w:val="18"/>
                <w:szCs w:val="18"/>
              </w:rPr>
            </w:pPr>
            <w:r>
              <w:rPr>
                <w:sz w:val="18"/>
                <w:szCs w:val="18"/>
              </w:rPr>
              <w:t xml:space="preserve">Yarra Hills Secondary College has the College Values: </w:t>
            </w:r>
            <w:r w:rsidRPr="00610295">
              <w:rPr>
                <w:b/>
                <w:sz w:val="18"/>
                <w:szCs w:val="18"/>
              </w:rPr>
              <w:t>Respect, Endeavour, Achievement and Pride</w:t>
            </w:r>
            <w:r>
              <w:rPr>
                <w:sz w:val="18"/>
                <w:szCs w:val="18"/>
              </w:rPr>
              <w:t xml:space="preserve"> </w:t>
            </w:r>
          </w:p>
          <w:p w14:paraId="679D30E8" w14:textId="66474FAF" w:rsidR="00610295" w:rsidRDefault="00610295" w:rsidP="00B85BE6">
            <w:pPr>
              <w:rPr>
                <w:sz w:val="18"/>
                <w:szCs w:val="18"/>
              </w:rPr>
            </w:pPr>
            <w:r>
              <w:rPr>
                <w:sz w:val="18"/>
                <w:szCs w:val="18"/>
              </w:rPr>
              <w:t>These values underpin all the actions and interactions across the college community and are used as a basis for</w:t>
            </w:r>
            <w:r w:rsidR="00820BCA">
              <w:rPr>
                <w:sz w:val="18"/>
                <w:szCs w:val="18"/>
              </w:rPr>
              <w:t xml:space="preserve"> improving student engagement and outcomes.</w:t>
            </w:r>
          </w:p>
          <w:p w14:paraId="154A1D91" w14:textId="49FAF662" w:rsidR="00B85BE6" w:rsidRDefault="00B85BE6" w:rsidP="00B85BE6">
            <w:pPr>
              <w:rPr>
                <w:i/>
                <w:sz w:val="16"/>
                <w:szCs w:val="16"/>
              </w:rPr>
            </w:pPr>
          </w:p>
        </w:tc>
        <w:tc>
          <w:tcPr>
            <w:tcW w:w="9922" w:type="dxa"/>
            <w:vMerge w:val="restart"/>
            <w:shd w:val="clear" w:color="auto" w:fill="FFFFFF" w:themeFill="background1"/>
          </w:tcPr>
          <w:p w14:paraId="50DAAECD" w14:textId="7009D8C2" w:rsidR="00836F22" w:rsidRPr="00677C85" w:rsidRDefault="00836F22" w:rsidP="00836F22">
            <w:pPr>
              <w:rPr>
                <w:sz w:val="16"/>
                <w:szCs w:val="16"/>
              </w:rPr>
            </w:pPr>
            <w:r w:rsidRPr="00677C85">
              <w:rPr>
                <w:b/>
                <w:bCs/>
                <w:sz w:val="16"/>
                <w:szCs w:val="16"/>
              </w:rPr>
              <w:t>Yarra Hills Secondary College</w:t>
            </w:r>
            <w:r w:rsidRPr="00677C85">
              <w:rPr>
                <w:sz w:val="16"/>
                <w:szCs w:val="16"/>
              </w:rPr>
              <w:t xml:space="preserve"> is a multi-campus government secondary school in the outer eastern suburbs of Melbourne, Victoria Australia. It has two campuses, a year 7 – 10 Campus at Mt Evelyn and a Mooroolbark Campus with both year 7 – 10 and senior (year 11/12) precincts on the one site. Current enrolments are between 700 – 750 students and have been rising over the last four years.</w:t>
            </w:r>
          </w:p>
          <w:p w14:paraId="7070C636" w14:textId="77777777" w:rsidR="00836F22" w:rsidRPr="00677C85" w:rsidRDefault="00836F22" w:rsidP="00836F22">
            <w:pPr>
              <w:rPr>
                <w:sz w:val="16"/>
                <w:szCs w:val="16"/>
              </w:rPr>
            </w:pPr>
            <w:r w:rsidRPr="00677C85">
              <w:rPr>
                <w:b/>
                <w:bCs/>
                <w:sz w:val="16"/>
                <w:szCs w:val="16"/>
              </w:rPr>
              <w:t>The Mt Evelyn Campus</w:t>
            </w:r>
            <w:r w:rsidRPr="00677C85">
              <w:rPr>
                <w:sz w:val="16"/>
                <w:szCs w:val="16"/>
              </w:rPr>
              <w:t xml:space="preserve"> typically accepts students from the local Mt Evelyn area, nearby Lilydale, Silvan and towns further down the Warburton Highway in the Yarra Valley, including such areas as Wandin, Seville, </w:t>
            </w:r>
            <w:proofErr w:type="gramStart"/>
            <w:r w:rsidRPr="00677C85">
              <w:rPr>
                <w:sz w:val="16"/>
                <w:szCs w:val="16"/>
              </w:rPr>
              <w:t>Woori</w:t>
            </w:r>
            <w:proofErr w:type="gramEnd"/>
            <w:r w:rsidRPr="00677C85">
              <w:rPr>
                <w:sz w:val="16"/>
                <w:szCs w:val="16"/>
              </w:rPr>
              <w:t xml:space="preserve"> Yallock and beyond. Students attending this campus progress to the Mooroolbark Campus for their senior studies. Bus transport is made available to do this.</w:t>
            </w:r>
          </w:p>
          <w:p w14:paraId="1074AE9D" w14:textId="64899E14" w:rsidR="006569E2" w:rsidRPr="00677C85" w:rsidRDefault="00836F22" w:rsidP="00B85BE6">
            <w:pPr>
              <w:rPr>
                <w:sz w:val="16"/>
                <w:szCs w:val="16"/>
              </w:rPr>
            </w:pPr>
            <w:r w:rsidRPr="00677C85">
              <w:rPr>
                <w:b/>
                <w:bCs/>
                <w:sz w:val="16"/>
                <w:szCs w:val="16"/>
              </w:rPr>
              <w:t>The Mooroolbark Campus</w:t>
            </w:r>
            <w:r w:rsidRPr="00677C85">
              <w:rPr>
                <w:sz w:val="16"/>
                <w:szCs w:val="16"/>
              </w:rPr>
              <w:t xml:space="preserve"> directly serves the Mooroolbark, Lilydale, Kilsyth, Montrose, Croydon and Bayswater areas.</w:t>
            </w:r>
            <w:r w:rsidR="001F6323" w:rsidRPr="00677C85">
              <w:rPr>
                <w:sz w:val="16"/>
                <w:szCs w:val="16"/>
              </w:rPr>
              <w:t xml:space="preserve"> </w:t>
            </w:r>
            <w:r w:rsidRPr="00677C85">
              <w:rPr>
                <w:sz w:val="16"/>
                <w:szCs w:val="16"/>
              </w:rPr>
              <w:t>At senior level, Yarra Hills provides VCE studies, as well as VET (Vocational Education &amp; Training) and VCAL (Victorian Certificate of Applied Learning) School Based Apprenticeship Training.</w:t>
            </w:r>
          </w:p>
          <w:p w14:paraId="2DD7A514" w14:textId="75C133B9" w:rsidR="00B85BE6" w:rsidRPr="00677C85" w:rsidRDefault="00836F22" w:rsidP="00B85BE6">
            <w:pPr>
              <w:rPr>
                <w:sz w:val="18"/>
                <w:szCs w:val="18"/>
              </w:rPr>
            </w:pPr>
            <w:r w:rsidRPr="00677C85">
              <w:rPr>
                <w:sz w:val="16"/>
                <w:szCs w:val="16"/>
              </w:rPr>
              <w:t xml:space="preserve">Key challenges relate to the lower socio-economic cohort enrolled at the school, as well as a large Chin Burmese refugee contingent at the Mooroolbark Campus. Further challenges relating to the multi-campus structure are present in regard to consistent practice and community requirements in different </w:t>
            </w:r>
            <w:r w:rsidR="001F6323" w:rsidRPr="00677C85">
              <w:rPr>
                <w:sz w:val="16"/>
                <w:szCs w:val="16"/>
              </w:rPr>
              <w:t>residential areas</w:t>
            </w:r>
            <w:r w:rsidRPr="00677C85">
              <w:rPr>
                <w:sz w:val="16"/>
                <w:szCs w:val="16"/>
              </w:rPr>
              <w:t>.</w:t>
            </w:r>
          </w:p>
        </w:tc>
        <w:tc>
          <w:tcPr>
            <w:tcW w:w="6379" w:type="dxa"/>
            <w:vMerge w:val="restart"/>
          </w:tcPr>
          <w:p w14:paraId="1F271D01" w14:textId="2E943A4F" w:rsidR="00836F22" w:rsidRPr="00677C85" w:rsidRDefault="00836F22" w:rsidP="00836F22">
            <w:pPr>
              <w:rPr>
                <w:sz w:val="16"/>
                <w:szCs w:val="16"/>
              </w:rPr>
            </w:pPr>
            <w:r w:rsidRPr="00677C85">
              <w:rPr>
                <w:sz w:val="16"/>
                <w:szCs w:val="16"/>
              </w:rPr>
              <w:t xml:space="preserve">Following on from the findings in the 2015 school Priority Review, there is a commitment within the school community to continuous improvement to support better outcomes for all students. </w:t>
            </w:r>
          </w:p>
          <w:p w14:paraId="3A907D4A" w14:textId="77777777" w:rsidR="00836F22" w:rsidRPr="00677C85" w:rsidRDefault="00836F22" w:rsidP="00836F22">
            <w:pPr>
              <w:rPr>
                <w:sz w:val="16"/>
                <w:szCs w:val="16"/>
              </w:rPr>
            </w:pPr>
            <w:r w:rsidRPr="00677C85">
              <w:rPr>
                <w:sz w:val="16"/>
                <w:szCs w:val="16"/>
              </w:rPr>
              <w:t>The Review team was of the view that improvement was more likely to be achieved in an environment where the following are in place:</w:t>
            </w:r>
          </w:p>
          <w:p w14:paraId="54235620" w14:textId="77777777" w:rsidR="00836F22" w:rsidRPr="00677C85" w:rsidRDefault="00836F22" w:rsidP="00836F22">
            <w:pPr>
              <w:numPr>
                <w:ilvl w:val="0"/>
                <w:numId w:val="4"/>
              </w:numPr>
              <w:rPr>
                <w:sz w:val="16"/>
                <w:szCs w:val="16"/>
              </w:rPr>
            </w:pPr>
            <w:r w:rsidRPr="00677C85">
              <w:rPr>
                <w:sz w:val="16"/>
                <w:szCs w:val="16"/>
              </w:rPr>
              <w:t>an embedded evidence-based curriculum and common instructional model</w:t>
            </w:r>
          </w:p>
          <w:p w14:paraId="6AABE616" w14:textId="77777777" w:rsidR="00836F22" w:rsidRPr="00677C85" w:rsidRDefault="00836F22" w:rsidP="00836F22">
            <w:pPr>
              <w:numPr>
                <w:ilvl w:val="0"/>
                <w:numId w:val="4"/>
              </w:numPr>
              <w:rPr>
                <w:sz w:val="16"/>
                <w:szCs w:val="16"/>
              </w:rPr>
            </w:pPr>
            <w:r w:rsidRPr="00677C85">
              <w:rPr>
                <w:sz w:val="16"/>
                <w:szCs w:val="16"/>
              </w:rPr>
              <w:t>a stronger culture of high expectations and accountability</w:t>
            </w:r>
          </w:p>
          <w:p w14:paraId="5FA6B960" w14:textId="77777777" w:rsidR="00836F22" w:rsidRPr="00677C85" w:rsidRDefault="00836F22" w:rsidP="00836F22">
            <w:pPr>
              <w:numPr>
                <w:ilvl w:val="0"/>
                <w:numId w:val="4"/>
              </w:numPr>
              <w:rPr>
                <w:sz w:val="16"/>
                <w:szCs w:val="16"/>
              </w:rPr>
            </w:pPr>
            <w:r w:rsidRPr="00677C85">
              <w:rPr>
                <w:sz w:val="16"/>
                <w:szCs w:val="16"/>
              </w:rPr>
              <w:t>more consistency in implementing policies and practices</w:t>
            </w:r>
          </w:p>
          <w:p w14:paraId="1A227A7C" w14:textId="77777777" w:rsidR="00836F22" w:rsidRPr="00677C85" w:rsidRDefault="00836F22" w:rsidP="00836F22">
            <w:pPr>
              <w:numPr>
                <w:ilvl w:val="0"/>
                <w:numId w:val="4"/>
              </w:numPr>
              <w:rPr>
                <w:sz w:val="16"/>
                <w:szCs w:val="16"/>
              </w:rPr>
            </w:pPr>
            <w:r w:rsidRPr="00677C85">
              <w:rPr>
                <w:sz w:val="16"/>
                <w:szCs w:val="16"/>
              </w:rPr>
              <w:t>where resources are allocated more strategically</w:t>
            </w:r>
          </w:p>
          <w:p w14:paraId="749BBB7F" w14:textId="60D67A85" w:rsidR="00B85BE6" w:rsidRPr="006569E2" w:rsidRDefault="00B85BE6" w:rsidP="00B85BE6">
            <w:pPr>
              <w:rPr>
                <w:sz w:val="16"/>
                <w:szCs w:val="16"/>
              </w:rPr>
            </w:pPr>
          </w:p>
        </w:tc>
      </w:tr>
      <w:tr w:rsidR="00B85BE6" w14:paraId="1C2E7DB7" w14:textId="77777777" w:rsidTr="00677C85">
        <w:trPr>
          <w:trHeight w:val="220"/>
        </w:trPr>
        <w:tc>
          <w:tcPr>
            <w:tcW w:w="2836" w:type="dxa"/>
            <w:vMerge/>
            <w:shd w:val="clear" w:color="auto" w:fill="C2D69B" w:themeFill="accent3" w:themeFillTint="99"/>
          </w:tcPr>
          <w:p w14:paraId="2E752559" w14:textId="146A2A99" w:rsidR="00B85BE6" w:rsidRDefault="00B85BE6" w:rsidP="00B85BE6">
            <w:pPr>
              <w:rPr>
                <w:b/>
                <w:sz w:val="18"/>
                <w:szCs w:val="18"/>
              </w:rPr>
            </w:pPr>
          </w:p>
        </w:tc>
        <w:tc>
          <w:tcPr>
            <w:tcW w:w="3402" w:type="dxa"/>
            <w:vMerge/>
            <w:shd w:val="clear" w:color="auto" w:fill="C2D69B" w:themeFill="accent3" w:themeFillTint="99"/>
          </w:tcPr>
          <w:p w14:paraId="6B13C1C2" w14:textId="2D302163" w:rsidR="00B85BE6" w:rsidRDefault="00B85BE6" w:rsidP="00B85BE6">
            <w:pPr>
              <w:rPr>
                <w:b/>
                <w:sz w:val="18"/>
                <w:szCs w:val="18"/>
              </w:rPr>
            </w:pPr>
          </w:p>
        </w:tc>
        <w:tc>
          <w:tcPr>
            <w:tcW w:w="9922" w:type="dxa"/>
            <w:vMerge/>
            <w:shd w:val="clear" w:color="auto" w:fill="FFFFFF" w:themeFill="background1"/>
          </w:tcPr>
          <w:p w14:paraId="14E9743B" w14:textId="3EE5F929" w:rsidR="00B85BE6" w:rsidRDefault="00B85BE6" w:rsidP="00B85BE6">
            <w:pPr>
              <w:rPr>
                <w:b/>
                <w:sz w:val="18"/>
                <w:szCs w:val="18"/>
              </w:rPr>
            </w:pPr>
          </w:p>
        </w:tc>
        <w:tc>
          <w:tcPr>
            <w:tcW w:w="6379" w:type="dxa"/>
            <w:vMerge/>
            <w:shd w:val="clear" w:color="auto" w:fill="C2D69B" w:themeFill="accent3" w:themeFillTint="99"/>
          </w:tcPr>
          <w:p w14:paraId="25AF8890" w14:textId="286DBC9C" w:rsidR="00B85BE6" w:rsidRDefault="00B85BE6" w:rsidP="00B85BE6">
            <w:pPr>
              <w:rPr>
                <w:b/>
                <w:sz w:val="18"/>
                <w:szCs w:val="18"/>
              </w:rPr>
            </w:pPr>
          </w:p>
        </w:tc>
      </w:tr>
      <w:tr w:rsidR="00B85BE6" w14:paraId="599C0C12" w14:textId="77777777" w:rsidTr="00677C85">
        <w:trPr>
          <w:trHeight w:val="220"/>
        </w:trPr>
        <w:tc>
          <w:tcPr>
            <w:tcW w:w="2836" w:type="dxa"/>
            <w:vMerge/>
          </w:tcPr>
          <w:p w14:paraId="3E998D3A" w14:textId="77777777" w:rsidR="00B85BE6" w:rsidRDefault="00B85BE6" w:rsidP="00B85BE6">
            <w:pPr>
              <w:rPr>
                <w:sz w:val="18"/>
                <w:szCs w:val="18"/>
                <w:highlight w:val="lightGray"/>
              </w:rPr>
            </w:pPr>
          </w:p>
        </w:tc>
        <w:tc>
          <w:tcPr>
            <w:tcW w:w="3402" w:type="dxa"/>
            <w:vMerge/>
          </w:tcPr>
          <w:p w14:paraId="67415038" w14:textId="3A85C9AE" w:rsidR="00B85BE6" w:rsidRDefault="00B85BE6" w:rsidP="00B85BE6">
            <w:pPr>
              <w:rPr>
                <w:i/>
                <w:sz w:val="16"/>
                <w:szCs w:val="16"/>
              </w:rPr>
            </w:pPr>
          </w:p>
        </w:tc>
        <w:tc>
          <w:tcPr>
            <w:tcW w:w="9922" w:type="dxa"/>
            <w:vMerge/>
            <w:shd w:val="clear" w:color="auto" w:fill="FFFFFF" w:themeFill="background1"/>
          </w:tcPr>
          <w:p w14:paraId="30AC8E9D" w14:textId="0A2B98E0" w:rsidR="00B85BE6" w:rsidRDefault="00B85BE6" w:rsidP="00B85BE6">
            <w:pPr>
              <w:rPr>
                <w:i/>
                <w:sz w:val="16"/>
                <w:szCs w:val="16"/>
              </w:rPr>
            </w:pPr>
          </w:p>
        </w:tc>
        <w:tc>
          <w:tcPr>
            <w:tcW w:w="6379" w:type="dxa"/>
            <w:vMerge/>
          </w:tcPr>
          <w:p w14:paraId="2221E176" w14:textId="0D0FC2B0" w:rsidR="00B85BE6" w:rsidRDefault="00B85BE6" w:rsidP="00B85BE6">
            <w:pPr>
              <w:rPr>
                <w:i/>
                <w:sz w:val="16"/>
                <w:szCs w:val="16"/>
              </w:rPr>
            </w:pPr>
          </w:p>
        </w:tc>
      </w:tr>
    </w:tbl>
    <w:p w14:paraId="5287F4E4" w14:textId="53265501" w:rsidR="00E23FC3" w:rsidRDefault="00E23FC3" w:rsidP="00E23FC3">
      <w:pPr>
        <w:tabs>
          <w:tab w:val="left" w:pos="3000"/>
        </w:tabs>
      </w:pPr>
    </w:p>
    <w:tbl>
      <w:tblPr>
        <w:tblStyle w:val="TableGrid"/>
        <w:tblW w:w="22587" w:type="dxa"/>
        <w:tblInd w:w="-743" w:type="dxa"/>
        <w:tblLook w:val="04A0" w:firstRow="1" w:lastRow="0" w:firstColumn="1" w:lastColumn="0" w:noHBand="0" w:noVBand="1"/>
      </w:tblPr>
      <w:tblGrid>
        <w:gridCol w:w="3686"/>
        <w:gridCol w:w="3828"/>
        <w:gridCol w:w="6237"/>
        <w:gridCol w:w="8836"/>
      </w:tblGrid>
      <w:tr w:rsidR="006569E2" w14:paraId="4085FA85" w14:textId="51F8299A" w:rsidTr="005D5495">
        <w:trPr>
          <w:trHeight w:val="570"/>
        </w:trPr>
        <w:tc>
          <w:tcPr>
            <w:tcW w:w="3686" w:type="dxa"/>
            <w:shd w:val="clear" w:color="auto" w:fill="C2D69B" w:themeFill="accent3" w:themeFillTint="99"/>
          </w:tcPr>
          <w:p w14:paraId="0C8743AF" w14:textId="227FFBF4" w:rsidR="006569E2" w:rsidRDefault="006569E2" w:rsidP="005D5495">
            <w:pPr>
              <w:spacing w:before="120" w:after="120"/>
              <w:jc w:val="center"/>
              <w:rPr>
                <w:b/>
                <w:sz w:val="18"/>
                <w:szCs w:val="18"/>
              </w:rPr>
            </w:pPr>
            <w:r>
              <w:rPr>
                <w:b/>
                <w:sz w:val="18"/>
                <w:szCs w:val="18"/>
              </w:rPr>
              <w:t xml:space="preserve">Four-year goals </w:t>
            </w:r>
            <w:r w:rsidR="00EB7105">
              <w:rPr>
                <w:b/>
                <w:sz w:val="18"/>
                <w:szCs w:val="18"/>
              </w:rPr>
              <w:br/>
            </w:r>
          </w:p>
        </w:tc>
        <w:tc>
          <w:tcPr>
            <w:tcW w:w="3828" w:type="dxa"/>
            <w:shd w:val="clear" w:color="auto" w:fill="C2D69B" w:themeFill="accent3" w:themeFillTint="99"/>
          </w:tcPr>
          <w:p w14:paraId="44CAAD50" w14:textId="485D5986" w:rsidR="006569E2" w:rsidRDefault="00055235" w:rsidP="005D5495">
            <w:pPr>
              <w:spacing w:before="120"/>
              <w:jc w:val="center"/>
              <w:rPr>
                <w:b/>
                <w:sz w:val="18"/>
                <w:szCs w:val="18"/>
              </w:rPr>
            </w:pPr>
            <w:r>
              <w:rPr>
                <w:b/>
                <w:sz w:val="18"/>
                <w:szCs w:val="18"/>
              </w:rPr>
              <w:t>I</w:t>
            </w:r>
            <w:r w:rsidR="006569E2">
              <w:rPr>
                <w:b/>
                <w:sz w:val="18"/>
                <w:szCs w:val="18"/>
              </w:rPr>
              <w:t xml:space="preserve">mprovement </w:t>
            </w:r>
            <w:r>
              <w:rPr>
                <w:b/>
                <w:sz w:val="18"/>
                <w:szCs w:val="18"/>
              </w:rPr>
              <w:t>P</w:t>
            </w:r>
            <w:r w:rsidR="006569E2">
              <w:rPr>
                <w:b/>
                <w:sz w:val="18"/>
                <w:szCs w:val="18"/>
              </w:rPr>
              <w:t xml:space="preserve">riorities, </w:t>
            </w:r>
            <w:r>
              <w:rPr>
                <w:b/>
                <w:sz w:val="18"/>
                <w:szCs w:val="18"/>
              </w:rPr>
              <w:t>I</w:t>
            </w:r>
            <w:r w:rsidR="006569E2">
              <w:rPr>
                <w:b/>
                <w:sz w:val="18"/>
                <w:szCs w:val="18"/>
              </w:rPr>
              <w:t xml:space="preserve">nitiatives and/or </w:t>
            </w:r>
            <w:r>
              <w:rPr>
                <w:b/>
                <w:sz w:val="18"/>
                <w:szCs w:val="18"/>
              </w:rPr>
              <w:t>D</w:t>
            </w:r>
            <w:r w:rsidR="006569E2">
              <w:rPr>
                <w:b/>
                <w:sz w:val="18"/>
                <w:szCs w:val="18"/>
              </w:rPr>
              <w:t>imensions</w:t>
            </w:r>
          </w:p>
        </w:tc>
        <w:tc>
          <w:tcPr>
            <w:tcW w:w="6237" w:type="dxa"/>
            <w:shd w:val="clear" w:color="auto" w:fill="C2D69B" w:themeFill="accent3" w:themeFillTint="99"/>
          </w:tcPr>
          <w:p w14:paraId="78D5E382" w14:textId="08330730" w:rsidR="006569E2" w:rsidRDefault="006569E2" w:rsidP="005D5495">
            <w:pPr>
              <w:spacing w:before="120"/>
              <w:jc w:val="center"/>
              <w:rPr>
                <w:b/>
                <w:sz w:val="18"/>
                <w:szCs w:val="18"/>
              </w:rPr>
            </w:pPr>
            <w:r w:rsidRPr="00CC615B">
              <w:rPr>
                <w:b/>
                <w:sz w:val="18"/>
                <w:szCs w:val="18"/>
              </w:rPr>
              <w:t>Key improvement strategies</w:t>
            </w:r>
          </w:p>
        </w:tc>
        <w:tc>
          <w:tcPr>
            <w:tcW w:w="8836" w:type="dxa"/>
            <w:shd w:val="clear" w:color="auto" w:fill="C2D69B" w:themeFill="accent3" w:themeFillTint="99"/>
          </w:tcPr>
          <w:p w14:paraId="2A0755D9" w14:textId="6655E4AF" w:rsidR="005D5495" w:rsidRDefault="006569E2" w:rsidP="005D5495">
            <w:pPr>
              <w:spacing w:before="120"/>
              <w:jc w:val="center"/>
              <w:rPr>
                <w:b/>
                <w:sz w:val="18"/>
                <w:szCs w:val="18"/>
              </w:rPr>
            </w:pPr>
            <w:r>
              <w:rPr>
                <w:b/>
                <w:sz w:val="18"/>
                <w:szCs w:val="18"/>
              </w:rPr>
              <w:t>Targets</w:t>
            </w:r>
          </w:p>
          <w:p w14:paraId="3860DDA6" w14:textId="30586850" w:rsidR="00EB7105" w:rsidRPr="00CC615B" w:rsidRDefault="005D5495" w:rsidP="00DA76CC">
            <w:pPr>
              <w:spacing w:before="120"/>
              <w:rPr>
                <w:b/>
                <w:sz w:val="18"/>
                <w:szCs w:val="18"/>
              </w:rPr>
            </w:pPr>
            <w:r>
              <w:rPr>
                <w:b/>
                <w:sz w:val="18"/>
                <w:szCs w:val="18"/>
              </w:rPr>
              <w:t xml:space="preserve"> {* Attitudes to School Survey (</w:t>
            </w:r>
            <w:proofErr w:type="spellStart"/>
            <w:r>
              <w:rPr>
                <w:b/>
                <w:sz w:val="18"/>
                <w:szCs w:val="18"/>
              </w:rPr>
              <w:t>AtSS</w:t>
            </w:r>
            <w:proofErr w:type="spellEnd"/>
            <w:r>
              <w:rPr>
                <w:b/>
                <w:sz w:val="18"/>
                <w:szCs w:val="18"/>
              </w:rPr>
              <w:t>), Parent Opinion Survey (</w:t>
            </w:r>
            <w:proofErr w:type="spellStart"/>
            <w:r>
              <w:rPr>
                <w:b/>
                <w:sz w:val="18"/>
                <w:szCs w:val="18"/>
              </w:rPr>
              <w:t>PoS</w:t>
            </w:r>
            <w:proofErr w:type="spellEnd"/>
            <w:r>
              <w:rPr>
                <w:b/>
                <w:sz w:val="18"/>
                <w:szCs w:val="18"/>
              </w:rPr>
              <w:t>), School Staff Survey (SSS)}</w:t>
            </w:r>
          </w:p>
        </w:tc>
      </w:tr>
      <w:tr w:rsidR="005D5495" w14:paraId="572CE555" w14:textId="772407F0" w:rsidTr="005D5495">
        <w:trPr>
          <w:trHeight w:val="720"/>
        </w:trPr>
        <w:tc>
          <w:tcPr>
            <w:tcW w:w="3686" w:type="dxa"/>
            <w:vMerge w:val="restart"/>
            <w:shd w:val="clear" w:color="auto" w:fill="auto"/>
          </w:tcPr>
          <w:p w14:paraId="2F6D8DD4" w14:textId="436761AF" w:rsidR="005D5495" w:rsidRDefault="005D5495" w:rsidP="00A05F71">
            <w:pPr>
              <w:rPr>
                <w:sz w:val="18"/>
                <w:szCs w:val="18"/>
                <w:highlight w:val="lightGray"/>
              </w:rPr>
            </w:pPr>
            <w:r w:rsidRPr="00924A06">
              <w:rPr>
                <w:rFonts w:ascii="Calibri" w:eastAsia="Calibri" w:hAnsi="Calibri" w:cs="Times New Roman"/>
                <w:b/>
                <w:sz w:val="24"/>
                <w:szCs w:val="24"/>
              </w:rPr>
              <w:t>Achievement</w:t>
            </w:r>
            <w:r w:rsidRPr="00D274F6">
              <w:rPr>
                <w:rFonts w:ascii="Calibri" w:eastAsia="Calibri" w:hAnsi="Calibri" w:cs="Times New Roman"/>
              </w:rPr>
              <w:t xml:space="preserve"> </w:t>
            </w:r>
            <w:r>
              <w:rPr>
                <w:rFonts w:ascii="Calibri" w:eastAsia="Calibri" w:hAnsi="Calibri" w:cs="Times New Roman"/>
              </w:rPr>
              <w:t xml:space="preserve">- </w:t>
            </w:r>
            <w:r w:rsidRPr="00D274F6">
              <w:rPr>
                <w:rFonts w:ascii="Calibri" w:eastAsia="Calibri" w:hAnsi="Calibri" w:cs="Times New Roman"/>
              </w:rPr>
              <w:t>Improve the learning growth of every student, with a whole school focus on literacy.</w:t>
            </w:r>
          </w:p>
        </w:tc>
        <w:tc>
          <w:tcPr>
            <w:tcW w:w="3828" w:type="dxa"/>
            <w:vMerge w:val="restart"/>
            <w:shd w:val="clear" w:color="auto" w:fill="auto"/>
          </w:tcPr>
          <w:p w14:paraId="5620A8A1" w14:textId="6E2BC437" w:rsidR="005D5495" w:rsidRPr="00095579" w:rsidRDefault="005D5495" w:rsidP="00A05F71">
            <w:pPr>
              <w:rPr>
                <w:b/>
                <w:sz w:val="18"/>
                <w:szCs w:val="18"/>
              </w:rPr>
            </w:pPr>
            <w:r w:rsidRPr="0015454E">
              <w:t>Excellence in Teaching &amp; Learning</w:t>
            </w:r>
            <w:r>
              <w:t xml:space="preserve"> – Curriculum Planning &amp; Assessment</w:t>
            </w:r>
          </w:p>
        </w:tc>
        <w:tc>
          <w:tcPr>
            <w:tcW w:w="6237" w:type="dxa"/>
            <w:shd w:val="clear" w:color="auto" w:fill="auto"/>
          </w:tcPr>
          <w:p w14:paraId="349F1D1E" w14:textId="58ACDBF3" w:rsidR="005D5495" w:rsidRPr="00665F3B" w:rsidRDefault="005D5495" w:rsidP="00924A06">
            <w:pPr>
              <w:rPr>
                <w:sz w:val="18"/>
                <w:szCs w:val="18"/>
                <w:highlight w:val="lightGray"/>
              </w:rPr>
            </w:pPr>
            <w:r w:rsidRPr="0015454E">
              <w:t>Build teacher capability to analyse data and a range of assessment strategies to inform teaching and learning</w:t>
            </w:r>
          </w:p>
        </w:tc>
        <w:tc>
          <w:tcPr>
            <w:tcW w:w="8836" w:type="dxa"/>
            <w:vMerge w:val="restart"/>
            <w:shd w:val="clear" w:color="auto" w:fill="auto"/>
          </w:tcPr>
          <w:p w14:paraId="63DCD9C7" w14:textId="77777777" w:rsidR="005D5495" w:rsidRPr="005D5495" w:rsidRDefault="005D5495" w:rsidP="005D5495">
            <w:pPr>
              <w:rPr>
                <w:b/>
                <w:i/>
                <w:sz w:val="18"/>
                <w:szCs w:val="18"/>
              </w:rPr>
            </w:pPr>
            <w:r w:rsidRPr="005D5495">
              <w:rPr>
                <w:b/>
                <w:i/>
                <w:sz w:val="18"/>
                <w:szCs w:val="18"/>
              </w:rPr>
              <w:t xml:space="preserve">NAPLAN Relative Growth by Domains: </w:t>
            </w:r>
            <w:r w:rsidRPr="005D5495">
              <w:rPr>
                <w:i/>
                <w:sz w:val="18"/>
                <w:szCs w:val="18"/>
              </w:rPr>
              <w:t>(Low Growth &lt; 25%; High Growth &gt; 25%)</w:t>
            </w:r>
          </w:p>
          <w:p w14:paraId="2A9B8B53" w14:textId="64068D1F" w:rsidR="005D5495" w:rsidRPr="005D5495" w:rsidRDefault="005D5495" w:rsidP="005D5495">
            <w:pPr>
              <w:rPr>
                <w:b/>
                <w:i/>
                <w:sz w:val="18"/>
                <w:szCs w:val="18"/>
              </w:rPr>
            </w:pPr>
            <w:proofErr w:type="spellStart"/>
            <w:r w:rsidRPr="005D5495">
              <w:rPr>
                <w:b/>
                <w:i/>
                <w:sz w:val="18"/>
                <w:szCs w:val="18"/>
              </w:rPr>
              <w:t>AusVELS</w:t>
            </w:r>
            <w:proofErr w:type="spellEnd"/>
            <w:r w:rsidRPr="005D5495">
              <w:rPr>
                <w:b/>
                <w:i/>
                <w:sz w:val="18"/>
                <w:szCs w:val="18"/>
              </w:rPr>
              <w:t xml:space="preserve"> Ratings ‘across dimensions’:  </w:t>
            </w:r>
            <w:r w:rsidRPr="005D5495">
              <w:rPr>
                <w:i/>
                <w:sz w:val="18"/>
                <w:szCs w:val="18"/>
              </w:rPr>
              <w:t xml:space="preserve">(English </w:t>
            </w:r>
            <w:r w:rsidR="00955F87">
              <w:rPr>
                <w:i/>
                <w:sz w:val="18"/>
                <w:szCs w:val="18"/>
              </w:rPr>
              <w:t>&amp; Maths &gt; 90% demonstrate minimum 12 months growth between levels 7/8,8/9, 9/10)</w:t>
            </w:r>
          </w:p>
          <w:p w14:paraId="2C3CB570" w14:textId="18C756DB" w:rsidR="005D5495" w:rsidRPr="005D5495" w:rsidRDefault="005D5495" w:rsidP="005D5495">
            <w:pPr>
              <w:rPr>
                <w:i/>
                <w:sz w:val="18"/>
                <w:szCs w:val="18"/>
              </w:rPr>
            </w:pPr>
            <w:r w:rsidRPr="005D5495">
              <w:rPr>
                <w:b/>
                <w:i/>
                <w:sz w:val="18"/>
                <w:szCs w:val="18"/>
              </w:rPr>
              <w:t xml:space="preserve">VCE: </w:t>
            </w:r>
            <w:r w:rsidRPr="005D5495">
              <w:rPr>
                <w:i/>
                <w:sz w:val="18"/>
                <w:szCs w:val="18"/>
              </w:rPr>
              <w:t>(</w:t>
            </w:r>
            <w:r w:rsidR="00571357" w:rsidRPr="00571357">
              <w:rPr>
                <w:i/>
                <w:sz w:val="18"/>
                <w:szCs w:val="18"/>
              </w:rPr>
              <w:t>Study Score average &gt; 28.0, English Study Score &gt; 29.0, 100% Study Scores &gt;26.0, 70% students above GAT predicted result</w:t>
            </w:r>
            <w:r w:rsidR="00571357">
              <w:rPr>
                <w:i/>
                <w:sz w:val="18"/>
                <w:szCs w:val="18"/>
              </w:rPr>
              <w:t xml:space="preserve"> in each study</w:t>
            </w:r>
            <w:r w:rsidR="00571357" w:rsidRPr="00571357">
              <w:rPr>
                <w:i/>
                <w:sz w:val="18"/>
                <w:szCs w:val="18"/>
              </w:rPr>
              <w:t>)</w:t>
            </w:r>
          </w:p>
          <w:p w14:paraId="30094BB3" w14:textId="77777777" w:rsidR="005D5495" w:rsidRPr="005D5495" w:rsidRDefault="005D5495" w:rsidP="005D5495">
            <w:pPr>
              <w:rPr>
                <w:b/>
                <w:i/>
                <w:sz w:val="18"/>
                <w:szCs w:val="18"/>
              </w:rPr>
            </w:pPr>
            <w:proofErr w:type="spellStart"/>
            <w:r w:rsidRPr="005D5495">
              <w:rPr>
                <w:b/>
                <w:i/>
                <w:sz w:val="18"/>
                <w:szCs w:val="18"/>
              </w:rPr>
              <w:t>AtSS</w:t>
            </w:r>
            <w:proofErr w:type="spellEnd"/>
            <w:r w:rsidRPr="005D5495">
              <w:rPr>
                <w:b/>
                <w:i/>
                <w:sz w:val="18"/>
                <w:szCs w:val="18"/>
              </w:rPr>
              <w:t xml:space="preserve">: </w:t>
            </w:r>
            <w:r w:rsidRPr="005D5495">
              <w:rPr>
                <w:i/>
                <w:sz w:val="18"/>
                <w:szCs w:val="18"/>
              </w:rPr>
              <w:t>(Teaching &amp; Learning – Teacher Effectiveness &gt; 4.0)</w:t>
            </w:r>
          </w:p>
          <w:p w14:paraId="6FA9ECD6" w14:textId="77777777" w:rsidR="005D5495" w:rsidRPr="005D5495" w:rsidRDefault="005D5495" w:rsidP="005D5495">
            <w:pPr>
              <w:rPr>
                <w:b/>
                <w:i/>
                <w:sz w:val="18"/>
                <w:szCs w:val="18"/>
              </w:rPr>
            </w:pPr>
            <w:r w:rsidRPr="005D5495">
              <w:rPr>
                <w:b/>
                <w:i/>
                <w:sz w:val="18"/>
                <w:szCs w:val="18"/>
              </w:rPr>
              <w:t xml:space="preserve">SSS:  </w:t>
            </w:r>
            <w:r w:rsidRPr="005D5495">
              <w:rPr>
                <w:i/>
                <w:sz w:val="18"/>
                <w:szCs w:val="18"/>
              </w:rPr>
              <w:t>(School Climate – Guaranteed &amp; Viable Curriculum &gt; 70.0; Professional Learning –School Level Support &gt;70.0)</w:t>
            </w:r>
          </w:p>
          <w:p w14:paraId="3C516BD6" w14:textId="0BA53660" w:rsidR="005D5495" w:rsidRPr="00955F87" w:rsidRDefault="005D5495" w:rsidP="00A05F71">
            <w:pPr>
              <w:rPr>
                <w:i/>
                <w:sz w:val="18"/>
                <w:szCs w:val="18"/>
              </w:rPr>
            </w:pPr>
            <w:proofErr w:type="spellStart"/>
            <w:r w:rsidRPr="005D5495">
              <w:rPr>
                <w:b/>
                <w:i/>
                <w:sz w:val="18"/>
                <w:szCs w:val="18"/>
              </w:rPr>
              <w:t>PoS</w:t>
            </w:r>
            <w:proofErr w:type="spellEnd"/>
            <w:r w:rsidRPr="005D5495">
              <w:rPr>
                <w:b/>
                <w:i/>
                <w:sz w:val="18"/>
                <w:szCs w:val="18"/>
              </w:rPr>
              <w:t xml:space="preserve">:  </w:t>
            </w:r>
            <w:r w:rsidRPr="005D5495">
              <w:rPr>
                <w:i/>
                <w:sz w:val="18"/>
                <w:szCs w:val="18"/>
              </w:rPr>
              <w:t>(School Climate – Learning Focus &gt; 6.0)</w:t>
            </w:r>
          </w:p>
        </w:tc>
      </w:tr>
      <w:tr w:rsidR="005D5495" w14:paraId="7498B260" w14:textId="1AA2CF14" w:rsidTr="005D5495">
        <w:trPr>
          <w:trHeight w:val="438"/>
        </w:trPr>
        <w:tc>
          <w:tcPr>
            <w:tcW w:w="3686" w:type="dxa"/>
            <w:vMerge/>
            <w:shd w:val="clear" w:color="auto" w:fill="auto"/>
          </w:tcPr>
          <w:p w14:paraId="309F908A" w14:textId="63BAA971" w:rsidR="005D5495" w:rsidRPr="00CC615B" w:rsidRDefault="005D5495" w:rsidP="006569E2">
            <w:pPr>
              <w:spacing w:before="120"/>
              <w:rPr>
                <w:b/>
                <w:sz w:val="18"/>
                <w:szCs w:val="18"/>
              </w:rPr>
            </w:pPr>
          </w:p>
        </w:tc>
        <w:tc>
          <w:tcPr>
            <w:tcW w:w="3828" w:type="dxa"/>
            <w:vMerge/>
            <w:shd w:val="clear" w:color="auto" w:fill="auto"/>
          </w:tcPr>
          <w:p w14:paraId="7066DB1F" w14:textId="2BCE9E67" w:rsidR="005D5495" w:rsidRPr="00CC615B" w:rsidRDefault="005D5495" w:rsidP="00A05F71">
            <w:pPr>
              <w:spacing w:before="120"/>
              <w:rPr>
                <w:b/>
                <w:sz w:val="18"/>
                <w:szCs w:val="18"/>
              </w:rPr>
            </w:pPr>
          </w:p>
        </w:tc>
        <w:tc>
          <w:tcPr>
            <w:tcW w:w="6237" w:type="dxa"/>
            <w:shd w:val="clear" w:color="auto" w:fill="auto"/>
          </w:tcPr>
          <w:p w14:paraId="6716E694" w14:textId="665209E4" w:rsidR="005D5495" w:rsidRDefault="005D5495" w:rsidP="00A05F71">
            <w:pPr>
              <w:rPr>
                <w:sz w:val="18"/>
                <w:szCs w:val="18"/>
                <w:highlight w:val="lightGray"/>
              </w:rPr>
            </w:pPr>
            <w:r w:rsidRPr="0015454E">
              <w:rPr>
                <w:rFonts w:cs="Arial"/>
              </w:rPr>
              <w:t xml:space="preserve">Build a whole-school guaranteed and viable curriculum </w:t>
            </w:r>
            <w:r w:rsidRPr="0015454E">
              <w:rPr>
                <w:rFonts w:cs="Arial"/>
                <w:lang w:val="en-US"/>
              </w:rPr>
              <w:t>focused on enhancing student learning,</w:t>
            </w:r>
            <w:r w:rsidRPr="0015454E">
              <w:rPr>
                <w:rFonts w:cs="Arial"/>
              </w:rPr>
              <w:t xml:space="preserve"> with all curriculum areas incorporating a literacy focus.</w:t>
            </w:r>
          </w:p>
        </w:tc>
        <w:tc>
          <w:tcPr>
            <w:tcW w:w="8836" w:type="dxa"/>
            <w:vMerge/>
            <w:shd w:val="clear" w:color="auto" w:fill="auto"/>
          </w:tcPr>
          <w:p w14:paraId="72EF000A" w14:textId="77777777" w:rsidR="005D5495" w:rsidRDefault="005D5495" w:rsidP="00A05F71">
            <w:pPr>
              <w:rPr>
                <w:sz w:val="18"/>
                <w:szCs w:val="18"/>
                <w:highlight w:val="lightGray"/>
              </w:rPr>
            </w:pPr>
          </w:p>
        </w:tc>
      </w:tr>
      <w:tr w:rsidR="005D5495" w14:paraId="55335813" w14:textId="61E43A44" w:rsidTr="005D5495">
        <w:trPr>
          <w:trHeight w:val="658"/>
        </w:trPr>
        <w:tc>
          <w:tcPr>
            <w:tcW w:w="3686" w:type="dxa"/>
            <w:vMerge w:val="restart"/>
            <w:shd w:val="clear" w:color="auto" w:fill="auto"/>
          </w:tcPr>
          <w:p w14:paraId="32FE5185" w14:textId="4CF89AE7" w:rsidR="005D5495" w:rsidRDefault="005D5495" w:rsidP="00274510">
            <w:pPr>
              <w:rPr>
                <w:sz w:val="18"/>
                <w:szCs w:val="18"/>
                <w:highlight w:val="lightGray"/>
              </w:rPr>
            </w:pPr>
            <w:r w:rsidRPr="005D3840">
              <w:rPr>
                <w:b/>
                <w:sz w:val="24"/>
                <w:szCs w:val="24"/>
              </w:rPr>
              <w:t>Engagement</w:t>
            </w:r>
            <w:r>
              <w:rPr>
                <w:b/>
                <w:sz w:val="24"/>
                <w:szCs w:val="24"/>
              </w:rPr>
              <w:t xml:space="preserve"> </w:t>
            </w:r>
            <w:r>
              <w:rPr>
                <w:lang w:val="en-GB"/>
              </w:rPr>
              <w:t>- I</w:t>
            </w:r>
            <w:r w:rsidRPr="00115683">
              <w:rPr>
                <w:lang w:val="en-GB"/>
              </w:rPr>
              <w:t>ncrease the active engagement of each student in their learning</w:t>
            </w:r>
          </w:p>
        </w:tc>
        <w:tc>
          <w:tcPr>
            <w:tcW w:w="3828" w:type="dxa"/>
            <w:shd w:val="clear" w:color="auto" w:fill="auto"/>
          </w:tcPr>
          <w:p w14:paraId="1668E5F3" w14:textId="189966D7" w:rsidR="005D5495" w:rsidRPr="00095579" w:rsidRDefault="005D5495" w:rsidP="00A05F71">
            <w:pPr>
              <w:rPr>
                <w:b/>
                <w:sz w:val="18"/>
                <w:szCs w:val="18"/>
              </w:rPr>
            </w:pPr>
            <w:r w:rsidRPr="0015454E">
              <w:t>Excellence in Teaching &amp; Learning</w:t>
            </w:r>
            <w:r>
              <w:t xml:space="preserve"> - </w:t>
            </w:r>
            <w:r>
              <w:rPr>
                <w:rFonts w:cs="Arial"/>
              </w:rPr>
              <w:t>Building Practice E</w:t>
            </w:r>
            <w:r w:rsidRPr="001A5964">
              <w:rPr>
                <w:rFonts w:cs="Arial"/>
              </w:rPr>
              <w:t>xcellence</w:t>
            </w:r>
          </w:p>
        </w:tc>
        <w:tc>
          <w:tcPr>
            <w:tcW w:w="6237" w:type="dxa"/>
            <w:shd w:val="clear" w:color="auto" w:fill="auto"/>
          </w:tcPr>
          <w:p w14:paraId="27E9F39B" w14:textId="1C349BB1" w:rsidR="005D5495" w:rsidRPr="00665F3B" w:rsidRDefault="005D5495" w:rsidP="00A05F71">
            <w:pPr>
              <w:rPr>
                <w:sz w:val="18"/>
                <w:szCs w:val="18"/>
                <w:highlight w:val="lightGray"/>
              </w:rPr>
            </w:pPr>
            <w:r w:rsidRPr="00C75314">
              <w:t>Build staff capacity to implement evidence based instructional practices within a common instructional model</w:t>
            </w:r>
          </w:p>
        </w:tc>
        <w:tc>
          <w:tcPr>
            <w:tcW w:w="8836" w:type="dxa"/>
            <w:vMerge w:val="restart"/>
            <w:shd w:val="clear" w:color="auto" w:fill="auto"/>
          </w:tcPr>
          <w:p w14:paraId="2B33E7F9" w14:textId="77777777" w:rsidR="005D5495" w:rsidRPr="005D5495" w:rsidRDefault="005D5495" w:rsidP="005D5495">
            <w:pPr>
              <w:rPr>
                <w:i/>
                <w:sz w:val="18"/>
                <w:szCs w:val="18"/>
              </w:rPr>
            </w:pPr>
            <w:r w:rsidRPr="005D5495">
              <w:rPr>
                <w:b/>
                <w:i/>
                <w:sz w:val="18"/>
                <w:szCs w:val="18"/>
              </w:rPr>
              <w:t>SSS</w:t>
            </w:r>
            <w:r w:rsidRPr="005D5495">
              <w:rPr>
                <w:i/>
                <w:sz w:val="18"/>
                <w:szCs w:val="18"/>
              </w:rPr>
              <w:t>: (School Climate – Collective Efficacy &gt;65.0; Collective Responsibility &gt;75.0; Professional Learning – Active Participation &gt;75.0)</w:t>
            </w:r>
          </w:p>
          <w:p w14:paraId="0156FDEC" w14:textId="77777777" w:rsidR="005D5495" w:rsidRPr="005D5495" w:rsidRDefault="005D5495" w:rsidP="005D5495">
            <w:pPr>
              <w:rPr>
                <w:b/>
                <w:i/>
                <w:sz w:val="18"/>
                <w:szCs w:val="18"/>
              </w:rPr>
            </w:pPr>
            <w:proofErr w:type="spellStart"/>
            <w:r w:rsidRPr="005D5495">
              <w:rPr>
                <w:b/>
                <w:i/>
                <w:sz w:val="18"/>
                <w:szCs w:val="18"/>
              </w:rPr>
              <w:t>AtSS</w:t>
            </w:r>
            <w:proofErr w:type="spellEnd"/>
            <w:r w:rsidRPr="005D5495">
              <w:rPr>
                <w:b/>
                <w:i/>
                <w:sz w:val="18"/>
                <w:szCs w:val="18"/>
              </w:rPr>
              <w:t>:</w:t>
            </w:r>
            <w:r w:rsidRPr="005D5495">
              <w:rPr>
                <w:i/>
                <w:sz w:val="18"/>
                <w:szCs w:val="18"/>
              </w:rPr>
              <w:t xml:space="preserve"> (Teaching &amp; Learning – Stimulating Learning &gt;4.0; Teacher Empathy &gt;4.2, Student Motivation &gt;4.3)</w:t>
            </w:r>
            <w:r w:rsidRPr="005D5495">
              <w:rPr>
                <w:b/>
                <w:i/>
                <w:sz w:val="18"/>
                <w:szCs w:val="18"/>
              </w:rPr>
              <w:t xml:space="preserve"> </w:t>
            </w:r>
          </w:p>
          <w:p w14:paraId="0157FEA3" w14:textId="77777777" w:rsidR="005D5495" w:rsidRPr="005D5495" w:rsidRDefault="005D5495" w:rsidP="005D5495">
            <w:pPr>
              <w:rPr>
                <w:b/>
                <w:i/>
                <w:sz w:val="18"/>
                <w:szCs w:val="18"/>
              </w:rPr>
            </w:pPr>
            <w:proofErr w:type="spellStart"/>
            <w:r w:rsidRPr="005D5495">
              <w:rPr>
                <w:b/>
                <w:i/>
                <w:sz w:val="18"/>
                <w:szCs w:val="18"/>
              </w:rPr>
              <w:t>PoS</w:t>
            </w:r>
            <w:proofErr w:type="spellEnd"/>
            <w:r w:rsidRPr="005D5495">
              <w:rPr>
                <w:b/>
                <w:i/>
                <w:sz w:val="18"/>
                <w:szCs w:val="18"/>
              </w:rPr>
              <w:t xml:space="preserve">:  </w:t>
            </w:r>
            <w:r w:rsidRPr="005D5495">
              <w:rPr>
                <w:i/>
                <w:sz w:val="18"/>
                <w:szCs w:val="18"/>
              </w:rPr>
              <w:t>(School Climate – Stimulating Learning &gt;5.7; Learning Focus &gt;5.5)</w:t>
            </w:r>
            <w:r w:rsidRPr="005D5495">
              <w:rPr>
                <w:b/>
                <w:i/>
                <w:sz w:val="18"/>
                <w:szCs w:val="18"/>
              </w:rPr>
              <w:t xml:space="preserve"> </w:t>
            </w:r>
          </w:p>
          <w:p w14:paraId="0B9C30ED" w14:textId="606D8FB1" w:rsidR="005D5495" w:rsidRPr="005D5495" w:rsidRDefault="005D5495" w:rsidP="007274A1">
            <w:pPr>
              <w:rPr>
                <w:sz w:val="18"/>
                <w:szCs w:val="18"/>
              </w:rPr>
            </w:pPr>
          </w:p>
        </w:tc>
      </w:tr>
      <w:tr w:rsidR="005D5495" w14:paraId="08FC85D5" w14:textId="122C9979" w:rsidTr="00955F87">
        <w:trPr>
          <w:trHeight w:val="608"/>
        </w:trPr>
        <w:tc>
          <w:tcPr>
            <w:tcW w:w="3686" w:type="dxa"/>
            <w:vMerge/>
            <w:shd w:val="clear" w:color="auto" w:fill="auto"/>
          </w:tcPr>
          <w:p w14:paraId="7335AB88" w14:textId="77777777" w:rsidR="005D5495" w:rsidRPr="00CC615B" w:rsidRDefault="005D5495" w:rsidP="00A05F71">
            <w:pPr>
              <w:spacing w:before="120"/>
              <w:rPr>
                <w:b/>
                <w:sz w:val="18"/>
                <w:szCs w:val="18"/>
              </w:rPr>
            </w:pPr>
          </w:p>
        </w:tc>
        <w:tc>
          <w:tcPr>
            <w:tcW w:w="3828" w:type="dxa"/>
            <w:shd w:val="clear" w:color="auto" w:fill="auto"/>
          </w:tcPr>
          <w:p w14:paraId="24511417" w14:textId="0EEB6B51" w:rsidR="005D5495" w:rsidRPr="00CC615B" w:rsidRDefault="005D5495" w:rsidP="00A05F71">
            <w:pPr>
              <w:spacing w:before="120"/>
              <w:rPr>
                <w:b/>
                <w:sz w:val="18"/>
                <w:szCs w:val="18"/>
              </w:rPr>
            </w:pPr>
            <w:r>
              <w:t>Positive Climate for L</w:t>
            </w:r>
            <w:r w:rsidRPr="0015454E">
              <w:t>earning</w:t>
            </w:r>
            <w:r>
              <w:t xml:space="preserve"> - </w:t>
            </w:r>
            <w:r w:rsidRPr="001A5964">
              <w:rPr>
                <w:rFonts w:cs="Arial"/>
              </w:rPr>
              <w:t xml:space="preserve">Setting </w:t>
            </w:r>
            <w:r>
              <w:rPr>
                <w:rFonts w:cs="Arial"/>
              </w:rPr>
              <w:t>E</w:t>
            </w:r>
            <w:r w:rsidRPr="001A5964">
              <w:rPr>
                <w:rFonts w:cs="Arial"/>
              </w:rPr>
              <w:t>xpectations &amp;</w:t>
            </w:r>
            <w:r>
              <w:rPr>
                <w:rFonts w:cs="Arial"/>
              </w:rPr>
              <w:t xml:space="preserve"> Promoting I</w:t>
            </w:r>
            <w:r w:rsidRPr="001A5964">
              <w:rPr>
                <w:rFonts w:cs="Arial"/>
              </w:rPr>
              <w:t>nclusion</w:t>
            </w:r>
          </w:p>
        </w:tc>
        <w:tc>
          <w:tcPr>
            <w:tcW w:w="6237" w:type="dxa"/>
            <w:shd w:val="clear" w:color="auto" w:fill="auto"/>
          </w:tcPr>
          <w:p w14:paraId="2C20FFA7" w14:textId="5839359E" w:rsidR="005D5495" w:rsidRDefault="005D5495" w:rsidP="00A05F71">
            <w:pPr>
              <w:rPr>
                <w:sz w:val="18"/>
                <w:szCs w:val="18"/>
                <w:highlight w:val="lightGray"/>
              </w:rPr>
            </w:pPr>
            <w:r w:rsidRPr="00DA76CC">
              <w:rPr>
                <w:rFonts w:ascii="Calibri" w:eastAsia="Calibri" w:hAnsi="Calibri" w:cs="Times New Roman"/>
              </w:rPr>
              <w:t>Build the school’s capacity to provide a stimulating learning environment where all students are active learners</w:t>
            </w:r>
          </w:p>
        </w:tc>
        <w:tc>
          <w:tcPr>
            <w:tcW w:w="8836" w:type="dxa"/>
            <w:vMerge/>
            <w:shd w:val="clear" w:color="auto" w:fill="auto"/>
          </w:tcPr>
          <w:p w14:paraId="5408748C" w14:textId="77777777" w:rsidR="005D5495" w:rsidRDefault="005D5495" w:rsidP="00A05F71">
            <w:pPr>
              <w:rPr>
                <w:sz w:val="18"/>
                <w:szCs w:val="18"/>
                <w:highlight w:val="lightGray"/>
              </w:rPr>
            </w:pPr>
          </w:p>
        </w:tc>
      </w:tr>
      <w:tr w:rsidR="00677C85" w14:paraId="799952FE" w14:textId="38395324" w:rsidTr="005D5495">
        <w:trPr>
          <w:trHeight w:val="889"/>
        </w:trPr>
        <w:tc>
          <w:tcPr>
            <w:tcW w:w="3686" w:type="dxa"/>
            <w:shd w:val="clear" w:color="auto" w:fill="auto"/>
          </w:tcPr>
          <w:p w14:paraId="19BCEB1B" w14:textId="03EA7CD8" w:rsidR="00677C85" w:rsidRDefault="00677C85" w:rsidP="00A05F71">
            <w:pPr>
              <w:rPr>
                <w:sz w:val="18"/>
                <w:szCs w:val="18"/>
                <w:highlight w:val="lightGray"/>
              </w:rPr>
            </w:pPr>
            <w:r w:rsidRPr="005D3840">
              <w:rPr>
                <w:b/>
                <w:sz w:val="24"/>
                <w:szCs w:val="24"/>
              </w:rPr>
              <w:t>Well-Being</w:t>
            </w:r>
            <w:r w:rsidRPr="00DA76CC">
              <w:rPr>
                <w:rFonts w:ascii="Calibri" w:eastAsia="Calibri" w:hAnsi="Calibri" w:cs="Times New Roman"/>
              </w:rPr>
              <w:t xml:space="preserve"> </w:t>
            </w:r>
            <w:r>
              <w:rPr>
                <w:rFonts w:ascii="Calibri" w:eastAsia="Calibri" w:hAnsi="Calibri" w:cs="Times New Roman"/>
              </w:rPr>
              <w:t>- C</w:t>
            </w:r>
            <w:r w:rsidRPr="00DA76CC">
              <w:rPr>
                <w:rFonts w:ascii="Calibri" w:eastAsia="Calibri" w:hAnsi="Calibri" w:cs="Times New Roman"/>
              </w:rPr>
              <w:t>reate a supportive learning community, which nurtures the social and emotional development of all students.</w:t>
            </w:r>
          </w:p>
        </w:tc>
        <w:tc>
          <w:tcPr>
            <w:tcW w:w="3828" w:type="dxa"/>
            <w:shd w:val="clear" w:color="auto" w:fill="auto"/>
          </w:tcPr>
          <w:p w14:paraId="2D2205B0" w14:textId="3B09B326" w:rsidR="00677C85" w:rsidRPr="00095579" w:rsidRDefault="00677C85" w:rsidP="00924A06">
            <w:pPr>
              <w:rPr>
                <w:b/>
                <w:sz w:val="18"/>
                <w:szCs w:val="18"/>
              </w:rPr>
            </w:pPr>
            <w:r>
              <w:t>Positive Climate for L</w:t>
            </w:r>
            <w:r w:rsidRPr="0015454E">
              <w:t>earning</w:t>
            </w:r>
            <w:r>
              <w:t xml:space="preserve"> - </w:t>
            </w:r>
            <w:r w:rsidRPr="001A5964">
              <w:rPr>
                <w:rFonts w:cs="Arial"/>
              </w:rPr>
              <w:t xml:space="preserve">Setting </w:t>
            </w:r>
            <w:r>
              <w:rPr>
                <w:rFonts w:cs="Arial"/>
              </w:rPr>
              <w:t>E</w:t>
            </w:r>
            <w:r w:rsidRPr="001A5964">
              <w:rPr>
                <w:rFonts w:cs="Arial"/>
              </w:rPr>
              <w:t>xpectations &amp;</w:t>
            </w:r>
            <w:r>
              <w:rPr>
                <w:rFonts w:cs="Arial"/>
              </w:rPr>
              <w:t xml:space="preserve"> Promoting I</w:t>
            </w:r>
            <w:r w:rsidRPr="001A5964">
              <w:rPr>
                <w:rFonts w:cs="Arial"/>
              </w:rPr>
              <w:t>nclusion</w:t>
            </w:r>
          </w:p>
        </w:tc>
        <w:tc>
          <w:tcPr>
            <w:tcW w:w="6237" w:type="dxa"/>
            <w:shd w:val="clear" w:color="auto" w:fill="auto"/>
          </w:tcPr>
          <w:p w14:paraId="6EDB9969" w14:textId="7439AC64" w:rsidR="00677C85" w:rsidRPr="00665F3B" w:rsidRDefault="00677C85" w:rsidP="00A05F71">
            <w:pPr>
              <w:rPr>
                <w:sz w:val="18"/>
                <w:szCs w:val="18"/>
                <w:highlight w:val="lightGray"/>
              </w:rPr>
            </w:pPr>
            <w:r w:rsidRPr="00DA76CC">
              <w:rPr>
                <w:rFonts w:ascii="Calibri" w:eastAsia="Arial Unicode MS" w:hAnsi="Calibri" w:cs="Times New Roman"/>
              </w:rPr>
              <w:t>Build the capacity of students to be resilient, socially responsible and respectful in all their relationships.</w:t>
            </w:r>
          </w:p>
        </w:tc>
        <w:tc>
          <w:tcPr>
            <w:tcW w:w="8836" w:type="dxa"/>
            <w:shd w:val="clear" w:color="auto" w:fill="auto"/>
          </w:tcPr>
          <w:p w14:paraId="7B193C72" w14:textId="77777777" w:rsidR="005D5495" w:rsidRPr="005D5495" w:rsidRDefault="005D5495" w:rsidP="005D5495">
            <w:pPr>
              <w:rPr>
                <w:i/>
                <w:sz w:val="18"/>
                <w:szCs w:val="18"/>
              </w:rPr>
            </w:pPr>
            <w:r w:rsidRPr="005D5495">
              <w:rPr>
                <w:b/>
                <w:i/>
                <w:sz w:val="18"/>
                <w:szCs w:val="18"/>
              </w:rPr>
              <w:t xml:space="preserve">Student Absences ‘Days per Full Time equivalent’: </w:t>
            </w:r>
            <w:r w:rsidRPr="005D5495">
              <w:rPr>
                <w:i/>
                <w:sz w:val="18"/>
                <w:szCs w:val="18"/>
              </w:rPr>
              <w:t>(</w:t>
            </w:r>
            <w:proofErr w:type="spellStart"/>
            <w:r w:rsidRPr="005D5495">
              <w:rPr>
                <w:i/>
                <w:sz w:val="18"/>
                <w:szCs w:val="18"/>
              </w:rPr>
              <w:t>Yr</w:t>
            </w:r>
            <w:proofErr w:type="spellEnd"/>
            <w:r w:rsidRPr="005D5495">
              <w:rPr>
                <w:i/>
                <w:sz w:val="18"/>
                <w:szCs w:val="18"/>
              </w:rPr>
              <w:t xml:space="preserve"> 7 &lt;15.0, </w:t>
            </w:r>
            <w:proofErr w:type="spellStart"/>
            <w:r w:rsidRPr="005D5495">
              <w:rPr>
                <w:i/>
                <w:sz w:val="18"/>
                <w:szCs w:val="18"/>
              </w:rPr>
              <w:t>Yr</w:t>
            </w:r>
            <w:proofErr w:type="spellEnd"/>
            <w:r w:rsidRPr="005D5495">
              <w:rPr>
                <w:i/>
                <w:sz w:val="18"/>
                <w:szCs w:val="18"/>
              </w:rPr>
              <w:t xml:space="preserve"> 8 &lt;18.0, </w:t>
            </w:r>
            <w:proofErr w:type="spellStart"/>
            <w:r w:rsidRPr="005D5495">
              <w:rPr>
                <w:i/>
                <w:sz w:val="18"/>
                <w:szCs w:val="18"/>
              </w:rPr>
              <w:t>Yr</w:t>
            </w:r>
            <w:proofErr w:type="spellEnd"/>
            <w:r w:rsidRPr="005D5495">
              <w:rPr>
                <w:i/>
                <w:sz w:val="18"/>
                <w:szCs w:val="18"/>
              </w:rPr>
              <w:t xml:space="preserve"> 9 &lt;20.0, </w:t>
            </w:r>
            <w:proofErr w:type="spellStart"/>
            <w:r w:rsidRPr="005D5495">
              <w:rPr>
                <w:i/>
                <w:sz w:val="18"/>
                <w:szCs w:val="18"/>
              </w:rPr>
              <w:t>Yr</w:t>
            </w:r>
            <w:proofErr w:type="spellEnd"/>
            <w:r w:rsidRPr="005D5495">
              <w:rPr>
                <w:i/>
                <w:sz w:val="18"/>
                <w:szCs w:val="18"/>
              </w:rPr>
              <w:t xml:space="preserve"> 10 &lt;20.0, </w:t>
            </w:r>
            <w:proofErr w:type="spellStart"/>
            <w:r w:rsidRPr="005D5495">
              <w:rPr>
                <w:i/>
                <w:sz w:val="18"/>
                <w:szCs w:val="18"/>
              </w:rPr>
              <w:t>Yr</w:t>
            </w:r>
            <w:proofErr w:type="spellEnd"/>
            <w:r w:rsidRPr="005D5495">
              <w:rPr>
                <w:i/>
                <w:sz w:val="18"/>
                <w:szCs w:val="18"/>
              </w:rPr>
              <w:t xml:space="preserve"> 11 &lt;15.0, </w:t>
            </w:r>
            <w:proofErr w:type="spellStart"/>
            <w:r w:rsidRPr="005D5495">
              <w:rPr>
                <w:i/>
                <w:sz w:val="18"/>
                <w:szCs w:val="18"/>
              </w:rPr>
              <w:t>Yr</w:t>
            </w:r>
            <w:proofErr w:type="spellEnd"/>
            <w:r w:rsidRPr="005D5495">
              <w:rPr>
                <w:i/>
                <w:sz w:val="18"/>
                <w:szCs w:val="18"/>
              </w:rPr>
              <w:t xml:space="preserve"> 12 &lt; 15.0)</w:t>
            </w:r>
          </w:p>
          <w:p w14:paraId="1230C97E" w14:textId="77777777" w:rsidR="005D5495" w:rsidRPr="005D5495" w:rsidRDefault="005D5495" w:rsidP="005D5495">
            <w:pPr>
              <w:rPr>
                <w:b/>
                <w:i/>
                <w:sz w:val="18"/>
                <w:szCs w:val="18"/>
              </w:rPr>
            </w:pPr>
            <w:r w:rsidRPr="005D5495">
              <w:rPr>
                <w:b/>
                <w:i/>
                <w:sz w:val="18"/>
                <w:szCs w:val="18"/>
              </w:rPr>
              <w:t xml:space="preserve">SSS:  </w:t>
            </w:r>
            <w:r w:rsidRPr="005D5495">
              <w:rPr>
                <w:i/>
                <w:sz w:val="18"/>
                <w:szCs w:val="18"/>
              </w:rPr>
              <w:t>(School Climate – Staff Trust in Colleagues &gt;75.0; Trust in Students and Parents &gt;65.0; Safety &amp; Wellbeing – Staff Social Behaviour &gt;70.0)</w:t>
            </w:r>
          </w:p>
          <w:p w14:paraId="74AEA5C9" w14:textId="77777777" w:rsidR="005D5495" w:rsidRPr="005D5495" w:rsidRDefault="005D5495" w:rsidP="005D5495">
            <w:pPr>
              <w:rPr>
                <w:b/>
                <w:i/>
                <w:sz w:val="18"/>
                <w:szCs w:val="18"/>
              </w:rPr>
            </w:pPr>
            <w:proofErr w:type="spellStart"/>
            <w:r w:rsidRPr="005D5495">
              <w:rPr>
                <w:b/>
                <w:i/>
                <w:sz w:val="18"/>
                <w:szCs w:val="18"/>
              </w:rPr>
              <w:t>AtSS</w:t>
            </w:r>
            <w:proofErr w:type="spellEnd"/>
            <w:r w:rsidRPr="005D5495">
              <w:rPr>
                <w:b/>
                <w:i/>
                <w:sz w:val="18"/>
                <w:szCs w:val="18"/>
              </w:rPr>
              <w:t xml:space="preserve">:  </w:t>
            </w:r>
            <w:r w:rsidRPr="005D5495">
              <w:rPr>
                <w:i/>
                <w:sz w:val="18"/>
                <w:szCs w:val="18"/>
              </w:rPr>
              <w:t>(Student Relationships – Student Morale &gt;5.0; Teacher Empathy &gt;4.0)</w:t>
            </w:r>
          </w:p>
          <w:p w14:paraId="0A376F23" w14:textId="2A9E8708" w:rsidR="00677C85" w:rsidRPr="005D5495" w:rsidRDefault="005D5495" w:rsidP="00A05F71">
            <w:pPr>
              <w:rPr>
                <w:i/>
                <w:sz w:val="18"/>
                <w:szCs w:val="18"/>
              </w:rPr>
            </w:pPr>
            <w:proofErr w:type="spellStart"/>
            <w:r w:rsidRPr="005D5495">
              <w:rPr>
                <w:b/>
                <w:i/>
                <w:sz w:val="18"/>
                <w:szCs w:val="18"/>
              </w:rPr>
              <w:t>PoS</w:t>
            </w:r>
            <w:proofErr w:type="spellEnd"/>
            <w:r w:rsidRPr="005D5495">
              <w:rPr>
                <w:b/>
                <w:i/>
                <w:sz w:val="18"/>
                <w:szCs w:val="18"/>
              </w:rPr>
              <w:t>: (</w:t>
            </w:r>
            <w:r w:rsidRPr="005D5495">
              <w:rPr>
                <w:i/>
                <w:sz w:val="18"/>
                <w:szCs w:val="18"/>
              </w:rPr>
              <w:t>Student Engagement – Connectedness to Peers &gt;5.8; Teacher Morale &gt;5.8)</w:t>
            </w:r>
          </w:p>
        </w:tc>
      </w:tr>
      <w:tr w:rsidR="00677C85" w14:paraId="139DBEA9" w14:textId="6B3D5A21" w:rsidTr="005D5495">
        <w:trPr>
          <w:trHeight w:val="926"/>
        </w:trPr>
        <w:tc>
          <w:tcPr>
            <w:tcW w:w="3686" w:type="dxa"/>
            <w:shd w:val="clear" w:color="auto" w:fill="auto"/>
          </w:tcPr>
          <w:p w14:paraId="7F0D3CAE" w14:textId="223BE50E" w:rsidR="00677C85" w:rsidRPr="00CC615B" w:rsidRDefault="00677C85" w:rsidP="00A05F71">
            <w:pPr>
              <w:spacing w:before="120"/>
              <w:rPr>
                <w:b/>
                <w:sz w:val="18"/>
                <w:szCs w:val="18"/>
              </w:rPr>
            </w:pPr>
            <w:r w:rsidRPr="005D3840">
              <w:rPr>
                <w:b/>
                <w:sz w:val="24"/>
                <w:szCs w:val="24"/>
              </w:rPr>
              <w:t>Well-Being</w:t>
            </w:r>
            <w:r w:rsidRPr="00DA76CC">
              <w:rPr>
                <w:rFonts w:ascii="Calibri" w:eastAsia="Calibri" w:hAnsi="Calibri" w:cs="Times New Roman"/>
              </w:rPr>
              <w:t xml:space="preserve"> </w:t>
            </w:r>
            <w:r>
              <w:rPr>
                <w:rFonts w:ascii="Calibri" w:eastAsia="Calibri" w:hAnsi="Calibri" w:cs="Times New Roman"/>
              </w:rPr>
              <w:t xml:space="preserve">- </w:t>
            </w:r>
            <w:r w:rsidRPr="00115683">
              <w:t>Create a culture of high expectations and high standards</w:t>
            </w:r>
          </w:p>
        </w:tc>
        <w:tc>
          <w:tcPr>
            <w:tcW w:w="3828" w:type="dxa"/>
            <w:shd w:val="clear" w:color="auto" w:fill="auto"/>
          </w:tcPr>
          <w:p w14:paraId="2FF3C77C" w14:textId="511D32C2" w:rsidR="00677C85" w:rsidRPr="00CC615B" w:rsidRDefault="00677C85" w:rsidP="00A05F71">
            <w:pPr>
              <w:spacing w:before="120"/>
              <w:rPr>
                <w:b/>
                <w:sz w:val="18"/>
                <w:szCs w:val="18"/>
              </w:rPr>
            </w:pPr>
            <w:r w:rsidRPr="00677C85">
              <w:t>Excellence in Teaching &amp; Learning - Building Practice Excellence</w:t>
            </w:r>
          </w:p>
        </w:tc>
        <w:tc>
          <w:tcPr>
            <w:tcW w:w="6237" w:type="dxa"/>
            <w:shd w:val="clear" w:color="auto" w:fill="auto"/>
          </w:tcPr>
          <w:p w14:paraId="67CBE1AE" w14:textId="3D7C63BA" w:rsidR="00677C85" w:rsidRDefault="00677C85" w:rsidP="00A05F71">
            <w:pPr>
              <w:rPr>
                <w:sz w:val="18"/>
                <w:szCs w:val="18"/>
                <w:highlight w:val="lightGray"/>
              </w:rPr>
            </w:pPr>
            <w:r w:rsidRPr="00DA76CC">
              <w:rPr>
                <w:rFonts w:ascii="Calibri" w:eastAsia="Calibri" w:hAnsi="Calibri" w:cs="Times New Roman"/>
              </w:rPr>
              <w:t>Develop and implement whole school processes and procedures that support accountability for consistent practice.</w:t>
            </w:r>
          </w:p>
        </w:tc>
        <w:tc>
          <w:tcPr>
            <w:tcW w:w="8836" w:type="dxa"/>
            <w:shd w:val="clear" w:color="auto" w:fill="auto"/>
          </w:tcPr>
          <w:p w14:paraId="69E6FABD" w14:textId="77777777" w:rsidR="005D5495" w:rsidRPr="005D5495" w:rsidRDefault="005D5495" w:rsidP="005D5495">
            <w:pPr>
              <w:rPr>
                <w:b/>
                <w:i/>
                <w:sz w:val="18"/>
                <w:szCs w:val="18"/>
              </w:rPr>
            </w:pPr>
            <w:r w:rsidRPr="005D5495">
              <w:rPr>
                <w:b/>
                <w:i/>
                <w:sz w:val="18"/>
                <w:szCs w:val="18"/>
              </w:rPr>
              <w:t xml:space="preserve">SSS:  </w:t>
            </w:r>
            <w:r w:rsidRPr="005D5495">
              <w:rPr>
                <w:i/>
                <w:sz w:val="18"/>
                <w:szCs w:val="18"/>
              </w:rPr>
              <w:t>(Safety &amp; Wellbeing – Staff Safety and Wellbeing Consultation and Participation &gt;65.0; Build Resilience and a Resilient, Supportive Environment &gt;65.0)</w:t>
            </w:r>
          </w:p>
          <w:p w14:paraId="5D2E1C65" w14:textId="77777777" w:rsidR="005D5495" w:rsidRPr="005D5495" w:rsidRDefault="005D5495" w:rsidP="005D5495">
            <w:pPr>
              <w:rPr>
                <w:b/>
                <w:i/>
                <w:sz w:val="18"/>
                <w:szCs w:val="18"/>
              </w:rPr>
            </w:pPr>
            <w:proofErr w:type="spellStart"/>
            <w:r w:rsidRPr="005D5495">
              <w:rPr>
                <w:b/>
                <w:i/>
                <w:sz w:val="18"/>
                <w:szCs w:val="18"/>
              </w:rPr>
              <w:t>AtSS</w:t>
            </w:r>
            <w:proofErr w:type="spellEnd"/>
            <w:r w:rsidRPr="005D5495">
              <w:rPr>
                <w:b/>
                <w:i/>
                <w:sz w:val="18"/>
                <w:szCs w:val="18"/>
              </w:rPr>
              <w:t xml:space="preserve">: </w:t>
            </w:r>
            <w:r w:rsidRPr="005D5495">
              <w:rPr>
                <w:i/>
                <w:sz w:val="18"/>
                <w:szCs w:val="18"/>
              </w:rPr>
              <w:t>(Student Relationships – Connectedness to Peers &gt;4.2; Classroom Behaviour &gt;4.0; Student Safety &gt;4.8 )</w:t>
            </w:r>
          </w:p>
          <w:p w14:paraId="2BB78AF1" w14:textId="3A38D953" w:rsidR="00677C85" w:rsidRPr="005D5495" w:rsidRDefault="005D5495" w:rsidP="00A05F71">
            <w:pPr>
              <w:rPr>
                <w:b/>
                <w:i/>
                <w:sz w:val="18"/>
                <w:szCs w:val="18"/>
              </w:rPr>
            </w:pPr>
            <w:proofErr w:type="spellStart"/>
            <w:r w:rsidRPr="005D5495">
              <w:rPr>
                <w:b/>
                <w:i/>
                <w:sz w:val="18"/>
                <w:szCs w:val="18"/>
              </w:rPr>
              <w:t>PoS</w:t>
            </w:r>
            <w:proofErr w:type="spellEnd"/>
            <w:r w:rsidRPr="005D5495">
              <w:rPr>
                <w:b/>
                <w:i/>
                <w:sz w:val="18"/>
                <w:szCs w:val="18"/>
              </w:rPr>
              <w:t xml:space="preserve">:  </w:t>
            </w:r>
            <w:r w:rsidRPr="005D5495">
              <w:rPr>
                <w:i/>
                <w:sz w:val="18"/>
                <w:szCs w:val="18"/>
              </w:rPr>
              <w:t>(Student Behaviour – Student Safety &gt;6.0; Classroom Behaviour &gt;4.0; School Climate – Behaviour Management &gt;5.5)</w:t>
            </w:r>
          </w:p>
        </w:tc>
      </w:tr>
      <w:tr w:rsidR="00677C85" w14:paraId="00BB4922" w14:textId="77777777" w:rsidTr="005D5495">
        <w:trPr>
          <w:trHeight w:val="886"/>
        </w:trPr>
        <w:tc>
          <w:tcPr>
            <w:tcW w:w="3686" w:type="dxa"/>
            <w:shd w:val="clear" w:color="auto" w:fill="auto"/>
          </w:tcPr>
          <w:p w14:paraId="28CFE82C" w14:textId="78EE0CC4" w:rsidR="00677C85" w:rsidRPr="00677C85" w:rsidRDefault="00677C85" w:rsidP="00677C85">
            <w:pPr>
              <w:spacing w:before="120"/>
              <w:rPr>
                <w:b/>
                <w:sz w:val="18"/>
                <w:szCs w:val="18"/>
              </w:rPr>
            </w:pPr>
            <w:r w:rsidRPr="00677C85">
              <w:rPr>
                <w:rFonts w:ascii="Calibri" w:eastAsia="Calibri" w:hAnsi="Calibri" w:cs="Times New Roman"/>
                <w:b/>
                <w:sz w:val="24"/>
                <w:szCs w:val="24"/>
              </w:rPr>
              <w:t>Productivity</w:t>
            </w:r>
            <w:r w:rsidRPr="00115683">
              <w:t xml:space="preserve"> </w:t>
            </w:r>
            <w:r>
              <w:t>- E</w:t>
            </w:r>
            <w:r w:rsidRPr="00115683">
              <w:t>nhance the sustainability of the College</w:t>
            </w:r>
          </w:p>
        </w:tc>
        <w:tc>
          <w:tcPr>
            <w:tcW w:w="3828" w:type="dxa"/>
            <w:shd w:val="clear" w:color="auto" w:fill="auto"/>
          </w:tcPr>
          <w:p w14:paraId="4B0ABB66" w14:textId="35D9D03C" w:rsidR="00677C85" w:rsidRPr="00CC615B" w:rsidRDefault="00677C85" w:rsidP="00A05F71">
            <w:pPr>
              <w:spacing w:before="120"/>
              <w:rPr>
                <w:b/>
                <w:sz w:val="18"/>
                <w:szCs w:val="18"/>
              </w:rPr>
            </w:pPr>
            <w:r w:rsidRPr="00677C85">
              <w:rPr>
                <w:rFonts w:ascii="Calibri" w:eastAsia="Calibri" w:hAnsi="Calibri" w:cs="Times New Roman"/>
              </w:rPr>
              <w:t>Building Communities</w:t>
            </w:r>
            <w:r>
              <w:rPr>
                <w:rFonts w:ascii="Calibri" w:eastAsia="Calibri" w:hAnsi="Calibri" w:cs="Times New Roman"/>
              </w:rPr>
              <w:t xml:space="preserve"> - </w:t>
            </w:r>
            <w:r w:rsidRPr="00677C85">
              <w:rPr>
                <w:rFonts w:ascii="Calibri" w:eastAsia="Calibri" w:hAnsi="Calibri" w:cs="Times New Roman"/>
              </w:rPr>
              <w:t>Community Engagement in Learning</w:t>
            </w:r>
          </w:p>
        </w:tc>
        <w:tc>
          <w:tcPr>
            <w:tcW w:w="6237" w:type="dxa"/>
            <w:shd w:val="clear" w:color="auto" w:fill="auto"/>
          </w:tcPr>
          <w:p w14:paraId="75C4029B" w14:textId="2DEFF8CB" w:rsidR="00677C85" w:rsidRDefault="00677C85" w:rsidP="00A05F71">
            <w:pPr>
              <w:rPr>
                <w:sz w:val="18"/>
                <w:szCs w:val="18"/>
                <w:highlight w:val="lightGray"/>
              </w:rPr>
            </w:pPr>
            <w:r w:rsidRPr="00677C85">
              <w:rPr>
                <w:rFonts w:ascii="Calibri" w:eastAsia="Calibri" w:hAnsi="Calibri" w:cs="Times New Roman"/>
              </w:rPr>
              <w:t>Strengthen the school’s capacity to provide a model of education provision that meets the needs of all students and the wider community.</w:t>
            </w:r>
          </w:p>
        </w:tc>
        <w:tc>
          <w:tcPr>
            <w:tcW w:w="8836" w:type="dxa"/>
            <w:shd w:val="clear" w:color="auto" w:fill="auto"/>
          </w:tcPr>
          <w:p w14:paraId="20FFDEB2" w14:textId="77777777" w:rsidR="005D5495" w:rsidRPr="005D5495" w:rsidRDefault="005D5495" w:rsidP="005D5495">
            <w:pPr>
              <w:rPr>
                <w:b/>
                <w:i/>
                <w:sz w:val="18"/>
                <w:szCs w:val="18"/>
              </w:rPr>
            </w:pPr>
            <w:r w:rsidRPr="005D5495">
              <w:rPr>
                <w:b/>
                <w:i/>
                <w:sz w:val="18"/>
                <w:szCs w:val="18"/>
              </w:rPr>
              <w:t xml:space="preserve">Enrolments &amp; Projections: </w:t>
            </w:r>
            <w:r w:rsidRPr="005D5495">
              <w:rPr>
                <w:i/>
                <w:sz w:val="18"/>
                <w:szCs w:val="18"/>
              </w:rPr>
              <w:t>(Total enrolment &gt;900; Mt Evelyn Campus enrolment &gt; 250)</w:t>
            </w:r>
          </w:p>
          <w:p w14:paraId="130F22C4" w14:textId="77777777" w:rsidR="005D5495" w:rsidRPr="005D5495" w:rsidRDefault="005D5495" w:rsidP="005D5495">
            <w:pPr>
              <w:rPr>
                <w:i/>
                <w:sz w:val="18"/>
                <w:szCs w:val="18"/>
              </w:rPr>
            </w:pPr>
            <w:r w:rsidRPr="005D5495">
              <w:rPr>
                <w:b/>
                <w:i/>
                <w:sz w:val="18"/>
                <w:szCs w:val="18"/>
              </w:rPr>
              <w:t xml:space="preserve">SSS: </w:t>
            </w:r>
            <w:r w:rsidRPr="005D5495">
              <w:rPr>
                <w:i/>
                <w:sz w:val="18"/>
                <w:szCs w:val="18"/>
              </w:rPr>
              <w:t>(Leadership Module – Leading Change &gt;73.0; Parent &amp; Community Involvement, Engagement &amp; Outreach &gt;74.0)</w:t>
            </w:r>
          </w:p>
          <w:p w14:paraId="46B57359" w14:textId="77777777" w:rsidR="005D5495" w:rsidRPr="005D5495" w:rsidRDefault="005D5495" w:rsidP="005D5495">
            <w:pPr>
              <w:rPr>
                <w:b/>
                <w:i/>
                <w:sz w:val="18"/>
                <w:szCs w:val="18"/>
              </w:rPr>
            </w:pPr>
            <w:proofErr w:type="spellStart"/>
            <w:r w:rsidRPr="005D5495">
              <w:rPr>
                <w:b/>
                <w:i/>
                <w:sz w:val="18"/>
                <w:szCs w:val="18"/>
              </w:rPr>
              <w:t>AtSS</w:t>
            </w:r>
            <w:proofErr w:type="spellEnd"/>
            <w:r w:rsidRPr="005D5495">
              <w:rPr>
                <w:b/>
                <w:i/>
                <w:sz w:val="18"/>
                <w:szCs w:val="18"/>
              </w:rPr>
              <w:t xml:space="preserve">: </w:t>
            </w:r>
            <w:r w:rsidRPr="005D5495">
              <w:rPr>
                <w:i/>
                <w:sz w:val="18"/>
                <w:szCs w:val="18"/>
              </w:rPr>
              <w:t>(Teaching &amp; Learning – School Connectedness &gt;3.8)</w:t>
            </w:r>
          </w:p>
          <w:p w14:paraId="7BA4EA3E" w14:textId="6474D2FC" w:rsidR="00677C85" w:rsidRPr="005D5495" w:rsidRDefault="005D5495" w:rsidP="00A05F71">
            <w:pPr>
              <w:rPr>
                <w:b/>
                <w:i/>
                <w:sz w:val="18"/>
                <w:szCs w:val="18"/>
              </w:rPr>
            </w:pPr>
            <w:proofErr w:type="spellStart"/>
            <w:r w:rsidRPr="005D5495">
              <w:rPr>
                <w:b/>
                <w:i/>
                <w:sz w:val="18"/>
                <w:szCs w:val="18"/>
              </w:rPr>
              <w:t>PoS</w:t>
            </w:r>
            <w:proofErr w:type="spellEnd"/>
            <w:r w:rsidRPr="005D5495">
              <w:rPr>
                <w:b/>
                <w:i/>
                <w:sz w:val="18"/>
                <w:szCs w:val="18"/>
              </w:rPr>
              <w:t xml:space="preserve">: </w:t>
            </w:r>
            <w:r w:rsidRPr="005D5495">
              <w:rPr>
                <w:i/>
                <w:sz w:val="18"/>
                <w:szCs w:val="18"/>
              </w:rPr>
              <w:t>(School Climate – School Improvement &gt;5.6; Transitions &gt;5.8)</w:t>
            </w:r>
          </w:p>
        </w:tc>
      </w:tr>
      <w:tr w:rsidR="00677C85" w14:paraId="41660B77" w14:textId="77777777" w:rsidTr="005D5495">
        <w:trPr>
          <w:trHeight w:val="886"/>
        </w:trPr>
        <w:tc>
          <w:tcPr>
            <w:tcW w:w="3686" w:type="dxa"/>
            <w:shd w:val="clear" w:color="auto" w:fill="auto"/>
          </w:tcPr>
          <w:p w14:paraId="26FE2DF9" w14:textId="266850FF" w:rsidR="00677C85" w:rsidRPr="00CC615B" w:rsidRDefault="00677C85" w:rsidP="00A05F71">
            <w:pPr>
              <w:spacing w:before="120"/>
              <w:rPr>
                <w:b/>
                <w:sz w:val="18"/>
                <w:szCs w:val="18"/>
              </w:rPr>
            </w:pPr>
            <w:r w:rsidRPr="00677C85">
              <w:rPr>
                <w:rFonts w:ascii="Calibri" w:eastAsia="Calibri" w:hAnsi="Calibri" w:cs="Times New Roman"/>
                <w:b/>
                <w:sz w:val="24"/>
                <w:szCs w:val="24"/>
              </w:rPr>
              <w:t>Productivity</w:t>
            </w:r>
            <w:r w:rsidRPr="00115683">
              <w:t xml:space="preserve"> </w:t>
            </w:r>
            <w:r>
              <w:t xml:space="preserve">- </w:t>
            </w:r>
            <w:r w:rsidRPr="00677C85">
              <w:rPr>
                <w:rFonts w:ascii="Calibri" w:eastAsia="Calibri" w:hAnsi="Calibri" w:cs="Times New Roman"/>
              </w:rPr>
              <w:t>Increase the capacity of the school to function as a strategic organisation</w:t>
            </w:r>
          </w:p>
        </w:tc>
        <w:tc>
          <w:tcPr>
            <w:tcW w:w="3828" w:type="dxa"/>
            <w:shd w:val="clear" w:color="auto" w:fill="auto"/>
          </w:tcPr>
          <w:p w14:paraId="00367DC1" w14:textId="42A79D16" w:rsidR="00677C85" w:rsidRPr="00CC615B" w:rsidRDefault="00677C85" w:rsidP="00A05F71">
            <w:pPr>
              <w:spacing w:before="120"/>
              <w:rPr>
                <w:b/>
                <w:sz w:val="18"/>
                <w:szCs w:val="18"/>
              </w:rPr>
            </w:pPr>
            <w:r w:rsidRPr="00677C85">
              <w:rPr>
                <w:rFonts w:ascii="Calibri" w:eastAsia="Calibri" w:hAnsi="Calibri" w:cs="Arial"/>
              </w:rPr>
              <w:t>Building Leadership</w:t>
            </w:r>
            <w:r>
              <w:rPr>
                <w:rFonts w:ascii="Calibri" w:eastAsia="Calibri" w:hAnsi="Calibri" w:cs="Arial"/>
              </w:rPr>
              <w:t xml:space="preserve"> T</w:t>
            </w:r>
            <w:r w:rsidRPr="00677C85">
              <w:rPr>
                <w:rFonts w:ascii="Calibri" w:eastAsia="Calibri" w:hAnsi="Calibri" w:cs="Arial"/>
              </w:rPr>
              <w:t>eams</w:t>
            </w:r>
            <w:r>
              <w:rPr>
                <w:rFonts w:ascii="Calibri" w:eastAsia="Calibri" w:hAnsi="Calibri" w:cs="Arial"/>
              </w:rPr>
              <w:t xml:space="preserve"> - </w:t>
            </w:r>
            <w:r w:rsidRPr="00677C85">
              <w:rPr>
                <w:rFonts w:ascii="Calibri" w:eastAsia="Calibri" w:hAnsi="Calibri" w:cs="Times New Roman"/>
              </w:rPr>
              <w:t>Professional Leadership</w:t>
            </w:r>
          </w:p>
        </w:tc>
        <w:tc>
          <w:tcPr>
            <w:tcW w:w="6237" w:type="dxa"/>
            <w:shd w:val="clear" w:color="auto" w:fill="auto"/>
          </w:tcPr>
          <w:p w14:paraId="458315DA" w14:textId="031A6070" w:rsidR="00677C85" w:rsidRDefault="00677C85" w:rsidP="00A05F71">
            <w:pPr>
              <w:rPr>
                <w:sz w:val="18"/>
                <w:szCs w:val="18"/>
                <w:highlight w:val="lightGray"/>
              </w:rPr>
            </w:pPr>
            <w:r w:rsidRPr="00677C85">
              <w:rPr>
                <w:rFonts w:ascii="Calibri" w:eastAsia="Calibri" w:hAnsi="Calibri" w:cs="Times New Roman"/>
              </w:rPr>
              <w:t>Build the capacity of the school leaders to develop and implement strategies for transformation</w:t>
            </w:r>
          </w:p>
        </w:tc>
        <w:tc>
          <w:tcPr>
            <w:tcW w:w="8836" w:type="dxa"/>
            <w:shd w:val="clear" w:color="auto" w:fill="auto"/>
          </w:tcPr>
          <w:p w14:paraId="48F391D7" w14:textId="77777777" w:rsidR="005D5495" w:rsidRPr="005D5495" w:rsidRDefault="005D5495" w:rsidP="005D5495">
            <w:pPr>
              <w:rPr>
                <w:i/>
                <w:sz w:val="18"/>
                <w:szCs w:val="18"/>
              </w:rPr>
            </w:pPr>
            <w:r w:rsidRPr="005D5495">
              <w:rPr>
                <w:b/>
                <w:i/>
                <w:sz w:val="18"/>
                <w:szCs w:val="18"/>
              </w:rPr>
              <w:t xml:space="preserve">SSS: </w:t>
            </w:r>
            <w:r w:rsidRPr="005D5495">
              <w:rPr>
                <w:i/>
                <w:sz w:val="18"/>
                <w:szCs w:val="18"/>
              </w:rPr>
              <w:t>(School Climate – Collective Focus on Student Learning &gt;75.0 ; School Leadership – Cultural Leadership &gt;70.0 )</w:t>
            </w:r>
          </w:p>
          <w:p w14:paraId="432EC311" w14:textId="77777777" w:rsidR="005D5495" w:rsidRPr="005D5495" w:rsidRDefault="005D5495" w:rsidP="005D5495">
            <w:pPr>
              <w:rPr>
                <w:b/>
                <w:i/>
                <w:sz w:val="18"/>
                <w:szCs w:val="18"/>
              </w:rPr>
            </w:pPr>
            <w:proofErr w:type="spellStart"/>
            <w:r w:rsidRPr="005D5495">
              <w:rPr>
                <w:b/>
                <w:i/>
                <w:sz w:val="18"/>
                <w:szCs w:val="18"/>
              </w:rPr>
              <w:t>PoS</w:t>
            </w:r>
            <w:proofErr w:type="spellEnd"/>
            <w:r w:rsidRPr="005D5495">
              <w:rPr>
                <w:b/>
                <w:i/>
                <w:sz w:val="18"/>
                <w:szCs w:val="18"/>
              </w:rPr>
              <w:t xml:space="preserve">: </w:t>
            </w:r>
            <w:r w:rsidRPr="005D5495">
              <w:rPr>
                <w:i/>
                <w:sz w:val="18"/>
                <w:szCs w:val="18"/>
              </w:rPr>
              <w:t>(School Climate – General Satisfaction &gt;5.6)</w:t>
            </w:r>
          </w:p>
          <w:p w14:paraId="50EA23A3" w14:textId="77777777" w:rsidR="00677C85" w:rsidRDefault="00677C85" w:rsidP="00A05F71">
            <w:pPr>
              <w:rPr>
                <w:sz w:val="18"/>
                <w:szCs w:val="18"/>
                <w:highlight w:val="lightGray"/>
              </w:rPr>
            </w:pPr>
          </w:p>
        </w:tc>
      </w:tr>
    </w:tbl>
    <w:p w14:paraId="49995CCD" w14:textId="7C1336D4" w:rsidR="005D1881" w:rsidRPr="00E23FC3" w:rsidRDefault="005D1881" w:rsidP="00665F3B">
      <w:pPr>
        <w:tabs>
          <w:tab w:val="left" w:pos="1875"/>
        </w:tabs>
      </w:pPr>
    </w:p>
    <w:sectPr w:rsidR="005D1881" w:rsidRPr="00E23FC3" w:rsidSect="00CC615B">
      <w:headerReference w:type="default" r:id="rId12"/>
      <w:footerReference w:type="default" r:id="rId13"/>
      <w:pgSz w:w="23814" w:h="16839" w:orient="landscape" w:code="8"/>
      <w:pgMar w:top="993" w:right="1440" w:bottom="1440" w:left="1440" w:header="708" w:footer="708" w:gutter="0"/>
      <w:cols w:space="8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EB29C" w14:textId="77777777" w:rsidR="00222E3F" w:rsidRDefault="00222E3F" w:rsidP="00974440">
      <w:r>
        <w:separator/>
      </w:r>
    </w:p>
  </w:endnote>
  <w:endnote w:type="continuationSeparator" w:id="0">
    <w:p w14:paraId="2D079A77" w14:textId="77777777" w:rsidR="00222E3F" w:rsidRDefault="00222E3F" w:rsidP="009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5D34" w14:textId="0E3533D8" w:rsidR="00974440" w:rsidRDefault="009872A9" w:rsidP="00FD51B4">
    <w:pPr>
      <w:pStyle w:val="Footer"/>
      <w:tabs>
        <w:tab w:val="clear" w:pos="9026"/>
        <w:tab w:val="right" w:pos="12616"/>
      </w:tabs>
    </w:pPr>
    <w:r>
      <w:rPr>
        <w:noProof/>
        <w:lang w:eastAsia="en-AU"/>
      </w:rPr>
      <w:drawing>
        <wp:anchor distT="0" distB="0" distL="114300" distR="114300" simplePos="0" relativeHeight="251656192" behindDoc="1" locked="0" layoutInCell="1" allowOverlap="1" wp14:anchorId="49995D35" wp14:editId="6E55FEEB">
          <wp:simplePos x="0" y="0"/>
          <wp:positionH relativeFrom="column">
            <wp:posOffset>12551410</wp:posOffset>
          </wp:positionH>
          <wp:positionV relativeFrom="paragraph">
            <wp:posOffset>-304800</wp:posOffset>
          </wp:positionV>
          <wp:extent cx="1314450" cy="734695"/>
          <wp:effectExtent l="0" t="0" r="0" b="8255"/>
          <wp:wrapThrough wrapText="bothSides">
            <wp:wrapPolygon edited="0">
              <wp:start x="0" y="0"/>
              <wp:lineTo x="0" y="21283"/>
              <wp:lineTo x="21287" y="21283"/>
              <wp:lineTo x="21287" y="0"/>
              <wp:lineTo x="0" y="0"/>
            </wp:wrapPolygon>
          </wp:wrapThrough>
          <wp:docPr id="19" name="Picture 19" descr="C:\Users\08723594\AppData\Local\Microsoft\Windows\Temporary Internet Files\Content.Outlook\IAL3SQCQ\stagegov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723594\AppData\Local\Microsoft\Windows\Temporary Internet Files\Content.Outlook\IAL3SQCQ\stagegov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69C">
      <w:rPr>
        <w:noProof/>
        <w:lang w:eastAsia="en-AU"/>
      </w:rPr>
      <mc:AlternateContent>
        <mc:Choice Requires="wps">
          <w:drawing>
            <wp:anchor distT="45720" distB="45720" distL="114300" distR="114300" simplePos="0" relativeHeight="251658240" behindDoc="1" locked="0" layoutInCell="1" allowOverlap="1" wp14:anchorId="4B319253" wp14:editId="7609E50E">
              <wp:simplePos x="0" y="0"/>
              <wp:positionH relativeFrom="column">
                <wp:posOffset>622300</wp:posOffset>
              </wp:positionH>
              <wp:positionV relativeFrom="paragraph">
                <wp:posOffset>17145</wp:posOffset>
              </wp:positionV>
              <wp:extent cx="3194050" cy="3289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28930"/>
                      </a:xfrm>
                      <a:prstGeom prst="rect">
                        <a:avLst/>
                      </a:prstGeom>
                      <a:solidFill>
                        <a:srgbClr val="FFFFFF"/>
                      </a:solidFill>
                      <a:ln w="9525">
                        <a:noFill/>
                        <a:miter lim="800000"/>
                        <a:headEnd/>
                        <a:tailEnd/>
                      </a:ln>
                    </wps:spPr>
                    <wps:txbx>
                      <w:txbxContent>
                        <w:p w14:paraId="0B8A5589" w14:textId="77777777" w:rsidR="000A469C" w:rsidRPr="000A469C" w:rsidRDefault="000A469C" w:rsidP="000A469C">
                          <w:pPr>
                            <w:rPr>
                              <w:color w:val="9BBB59" w:themeColor="accent3"/>
                              <w:sz w:val="24"/>
                              <w:szCs w:val="16"/>
                            </w:rPr>
                          </w:pPr>
                          <w:r w:rsidRPr="000A469C">
                            <w:rPr>
                              <w:color w:val="9BBB59" w:themeColor="accent3"/>
                              <w:sz w:val="24"/>
                              <w:szCs w:val="16"/>
                            </w:rPr>
                            <w:t>Framework for Improving Student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19253" id="_x0000_t202" coordsize="21600,21600" o:spt="202" path="m,l,21600r21600,l21600,xe">
              <v:stroke joinstyle="miter"/>
              <v:path gradientshapeok="t" o:connecttype="rect"/>
            </v:shapetype>
            <v:shape id="Text Box 2" o:spid="_x0000_s1026" type="#_x0000_t202" style="position:absolute;margin-left:49pt;margin-top:1.35pt;width:251.5pt;height:25.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IA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" stroked="f">
              <v:textbox style="mso-fit-shape-to-text:t">
                <w:txbxContent>
                  <w:p w14:paraId="0B8A5589" w14:textId="77777777" w:rsidR="000A469C" w:rsidRPr="000A469C" w:rsidRDefault="000A469C" w:rsidP="000A469C">
                    <w:pPr>
                      <w:rPr>
                        <w:color w:val="9BBB59" w:themeColor="accent3"/>
                        <w:sz w:val="24"/>
                        <w:szCs w:val="16"/>
                      </w:rPr>
                    </w:pPr>
                    <w:r w:rsidRPr="000A469C">
                      <w:rPr>
                        <w:color w:val="9BBB59" w:themeColor="accent3"/>
                        <w:sz w:val="24"/>
                        <w:szCs w:val="16"/>
                      </w:rPr>
                      <w:t>Framework for Improving Student Outcomes</w:t>
                    </w:r>
                  </w:p>
                </w:txbxContent>
              </v:textbox>
            </v:shape>
          </w:pict>
        </mc:Fallback>
      </mc:AlternateContent>
    </w:r>
    <w:r w:rsidRPr="000A469C">
      <w:rPr>
        <w:noProof/>
        <w:lang w:eastAsia="en-AU"/>
      </w:rPr>
      <w:drawing>
        <wp:anchor distT="0" distB="0" distL="114300" distR="114300" simplePos="0" relativeHeight="251657216" behindDoc="1" locked="0" layoutInCell="1" allowOverlap="1" wp14:anchorId="01F62896" wp14:editId="2A129CD8">
          <wp:simplePos x="0" y="0"/>
          <wp:positionH relativeFrom="column">
            <wp:posOffset>-450215</wp:posOffset>
          </wp:positionH>
          <wp:positionV relativeFrom="paragraph">
            <wp:posOffset>-659130</wp:posOffset>
          </wp:positionV>
          <wp:extent cx="996950" cy="995680"/>
          <wp:effectExtent l="0" t="0" r="0" b="0"/>
          <wp:wrapNone/>
          <wp:docPr id="23" name="Picture 23" descr="D:\Users\09026298\Desktop\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09026298\Desktop\model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7D">
      <w:tab/>
    </w:r>
    <w:r w:rsidR="00356F7D">
      <w:tab/>
    </w:r>
    <w:r>
      <w:t>Published:</w:t>
    </w:r>
    <w:r w:rsidR="00356F7D">
      <w:t xml:space="preserve"> Feb</w:t>
    </w:r>
    <w:r w:rsidR="000A15F3">
      <w:t>ruary</w:t>
    </w:r>
    <w:r w:rsidR="00356F7D">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FE649" w14:textId="77777777" w:rsidR="00222E3F" w:rsidRDefault="00222E3F" w:rsidP="00974440">
      <w:r>
        <w:separator/>
      </w:r>
    </w:p>
  </w:footnote>
  <w:footnote w:type="continuationSeparator" w:id="0">
    <w:p w14:paraId="40859641" w14:textId="77777777" w:rsidR="00222E3F" w:rsidRDefault="00222E3F" w:rsidP="0097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87800"/>
      <w:docPartObj>
        <w:docPartGallery w:val="Watermarks"/>
        <w:docPartUnique/>
      </w:docPartObj>
    </w:sdtPr>
    <w:sdtEndPr/>
    <w:sdtContent>
      <w:p w14:paraId="25E7E168" w14:textId="7707D028" w:rsidR="004725D1" w:rsidRDefault="000F3FCE">
        <w:pPr>
          <w:pStyle w:val="Header"/>
        </w:pPr>
        <w:r>
          <w:rPr>
            <w:noProof/>
            <w:lang w:val="en-US"/>
          </w:rPr>
          <w:pict w14:anchorId="50D89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C173A"/>
    <w:multiLevelType w:val="hybridMultilevel"/>
    <w:tmpl w:val="751E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B21440"/>
    <w:multiLevelType w:val="hybridMultilevel"/>
    <w:tmpl w:val="080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DE25A8"/>
    <w:multiLevelType w:val="hybridMultilevel"/>
    <w:tmpl w:val="B9EE5D7C"/>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 w15:restartNumberingAfterBreak="0">
    <w:nsid w:val="52357B23"/>
    <w:multiLevelType w:val="hybridMultilevel"/>
    <w:tmpl w:val="3C946430"/>
    <w:lvl w:ilvl="0" w:tplc="5BF4FD68">
      <w:start w:val="8815"/>
      <w:numFmt w:val="bullet"/>
      <w:lvlText w:val="-"/>
      <w:lvlJc w:val="left"/>
      <w:pPr>
        <w:ind w:left="405" w:hanging="360"/>
      </w:pPr>
      <w:rPr>
        <w:rFonts w:ascii="Calibri" w:eastAsiaTheme="minorHAnsi" w:hAnsi="Calibri" w:cstheme="minorBidi" w:hint="default"/>
        <w:b w:val="0"/>
        <w:sz w:val="22"/>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15:restartNumberingAfterBreak="0">
    <w:nsid w:val="7C760D74"/>
    <w:multiLevelType w:val="hybridMultilevel"/>
    <w:tmpl w:val="848C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45"/>
    <w:rsid w:val="0001290E"/>
    <w:rsid w:val="0001550E"/>
    <w:rsid w:val="000159DE"/>
    <w:rsid w:val="000366F3"/>
    <w:rsid w:val="000471C8"/>
    <w:rsid w:val="00051AFD"/>
    <w:rsid w:val="00055235"/>
    <w:rsid w:val="000925E5"/>
    <w:rsid w:val="000940D9"/>
    <w:rsid w:val="00095FB8"/>
    <w:rsid w:val="000A15F3"/>
    <w:rsid w:val="000A469C"/>
    <w:rsid w:val="000C2706"/>
    <w:rsid w:val="000F3FCE"/>
    <w:rsid w:val="001148BF"/>
    <w:rsid w:val="00194246"/>
    <w:rsid w:val="001C1C92"/>
    <w:rsid w:val="001E3161"/>
    <w:rsid w:val="001F6323"/>
    <w:rsid w:val="001F7B2C"/>
    <w:rsid w:val="00222E3F"/>
    <w:rsid w:val="00274510"/>
    <w:rsid w:val="002A4359"/>
    <w:rsid w:val="002A52B0"/>
    <w:rsid w:val="002A6E77"/>
    <w:rsid w:val="002B14ED"/>
    <w:rsid w:val="00300E45"/>
    <w:rsid w:val="003032B1"/>
    <w:rsid w:val="00322898"/>
    <w:rsid w:val="00356F7D"/>
    <w:rsid w:val="00367C8D"/>
    <w:rsid w:val="00387A1A"/>
    <w:rsid w:val="00397465"/>
    <w:rsid w:val="003A67F0"/>
    <w:rsid w:val="003A73ED"/>
    <w:rsid w:val="003B4C29"/>
    <w:rsid w:val="003D3F40"/>
    <w:rsid w:val="003E6DD0"/>
    <w:rsid w:val="004314E3"/>
    <w:rsid w:val="004568F8"/>
    <w:rsid w:val="0046256B"/>
    <w:rsid w:val="00465D84"/>
    <w:rsid w:val="004725D1"/>
    <w:rsid w:val="0047280E"/>
    <w:rsid w:val="004B5DD7"/>
    <w:rsid w:val="004C044E"/>
    <w:rsid w:val="004E7450"/>
    <w:rsid w:val="00520115"/>
    <w:rsid w:val="00542AB9"/>
    <w:rsid w:val="0054608F"/>
    <w:rsid w:val="00571357"/>
    <w:rsid w:val="00582A13"/>
    <w:rsid w:val="00597FDA"/>
    <w:rsid w:val="005A61C0"/>
    <w:rsid w:val="005B0635"/>
    <w:rsid w:val="005D1881"/>
    <w:rsid w:val="005D5495"/>
    <w:rsid w:val="005E6A1C"/>
    <w:rsid w:val="005F2D03"/>
    <w:rsid w:val="005F7189"/>
    <w:rsid w:val="00610295"/>
    <w:rsid w:val="00624C9C"/>
    <w:rsid w:val="00632BFE"/>
    <w:rsid w:val="006569E2"/>
    <w:rsid w:val="00660B4F"/>
    <w:rsid w:val="00665F3B"/>
    <w:rsid w:val="00677C85"/>
    <w:rsid w:val="006935E6"/>
    <w:rsid w:val="006F5C37"/>
    <w:rsid w:val="00707695"/>
    <w:rsid w:val="00722CB1"/>
    <w:rsid w:val="007274A1"/>
    <w:rsid w:val="007316E4"/>
    <w:rsid w:val="00732C53"/>
    <w:rsid w:val="00735A4B"/>
    <w:rsid w:val="007630A0"/>
    <w:rsid w:val="007656C7"/>
    <w:rsid w:val="00770280"/>
    <w:rsid w:val="00773BA5"/>
    <w:rsid w:val="00774346"/>
    <w:rsid w:val="0080062C"/>
    <w:rsid w:val="00806298"/>
    <w:rsid w:val="008138B6"/>
    <w:rsid w:val="00820BCA"/>
    <w:rsid w:val="00836F22"/>
    <w:rsid w:val="00844EAB"/>
    <w:rsid w:val="008A7EAA"/>
    <w:rsid w:val="008C0562"/>
    <w:rsid w:val="008E4759"/>
    <w:rsid w:val="009024E2"/>
    <w:rsid w:val="00907788"/>
    <w:rsid w:val="00924A06"/>
    <w:rsid w:val="0095105D"/>
    <w:rsid w:val="00955F87"/>
    <w:rsid w:val="00974440"/>
    <w:rsid w:val="009872A9"/>
    <w:rsid w:val="009C1955"/>
    <w:rsid w:val="009D3CDE"/>
    <w:rsid w:val="00A83E3E"/>
    <w:rsid w:val="00A9733C"/>
    <w:rsid w:val="00AC222C"/>
    <w:rsid w:val="00B10F75"/>
    <w:rsid w:val="00B1702A"/>
    <w:rsid w:val="00B23E83"/>
    <w:rsid w:val="00B85BE6"/>
    <w:rsid w:val="00C100E7"/>
    <w:rsid w:val="00C470C4"/>
    <w:rsid w:val="00C57A73"/>
    <w:rsid w:val="00C75C52"/>
    <w:rsid w:val="00CA7CF2"/>
    <w:rsid w:val="00CC615B"/>
    <w:rsid w:val="00CF5ED9"/>
    <w:rsid w:val="00D0715E"/>
    <w:rsid w:val="00D274F6"/>
    <w:rsid w:val="00D8689A"/>
    <w:rsid w:val="00DA0748"/>
    <w:rsid w:val="00DA6410"/>
    <w:rsid w:val="00DA76CC"/>
    <w:rsid w:val="00DC072B"/>
    <w:rsid w:val="00DD0650"/>
    <w:rsid w:val="00DD12F8"/>
    <w:rsid w:val="00E23FC3"/>
    <w:rsid w:val="00E257F3"/>
    <w:rsid w:val="00E67E9B"/>
    <w:rsid w:val="00E81392"/>
    <w:rsid w:val="00EA551B"/>
    <w:rsid w:val="00EB7105"/>
    <w:rsid w:val="00EB7902"/>
    <w:rsid w:val="00EE7142"/>
    <w:rsid w:val="00F208D7"/>
    <w:rsid w:val="00F4144D"/>
    <w:rsid w:val="00F446EB"/>
    <w:rsid w:val="00FA308C"/>
    <w:rsid w:val="00FC1E23"/>
    <w:rsid w:val="00FC3A97"/>
    <w:rsid w:val="00FC4CF3"/>
    <w:rsid w:val="00FD51B4"/>
    <w:rsid w:val="00FF4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95C9E"/>
  <w15:docId w15:val="{D9D340D8-419B-4C9D-80D1-55B0AE99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basedOn w:val="Normal"/>
    <w:uiPriority w:val="34"/>
    <w:qFormat/>
    <w:rsid w:val="006F5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74292">
      <w:bodyDiv w:val="1"/>
      <w:marLeft w:val="0"/>
      <w:marRight w:val="0"/>
      <w:marTop w:val="0"/>
      <w:marBottom w:val="0"/>
      <w:divBdr>
        <w:top w:val="none" w:sz="0" w:space="0" w:color="auto"/>
        <w:left w:val="none" w:sz="0" w:space="0" w:color="auto"/>
        <w:bottom w:val="none" w:sz="0" w:space="0" w:color="auto"/>
        <w:right w:val="none" w:sz="0" w:space="0" w:color="auto"/>
      </w:divBdr>
    </w:div>
    <w:div w:id="11137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9" ma:contentTypeDescription="DET Document" ma:contentTypeScope="" ma:versionID="b095e0877520837fb86fa3b645a0da01">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TaxCatchAll xmlns="b18ed191-9664-4865-9546-49bc3f5dd491">
      <Value>3</Value>
    </TaxCatchAll>
    <Improvement_x0020_Cycle_x0020_Phase xmlns="2fb8e541-c96b-4620-b82c-f319e82f9fb1">
      <Value>Prioritise and set goals</Value>
    </Improvement_x0020_Cycle_x0020_Phase>
    <Improvement_x0020_Cycle_x0020_Area xmlns="d2d43896-245d-412b-9865-a0e2354e9942">
      <Value>Strategic planning</Value>
    </Improvement_x0020_Cycle_x0020_Area>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AFE9-0271-4BB6-B2E4-8C3F4E357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B6D12-B58A-4479-9E2C-BA2596EFC98A}">
  <ds:schemaRefs>
    <ds:schemaRef ds:uri="http://purl.org/dc/elements/1.1/"/>
    <ds:schemaRef ds:uri="http://schemas.microsoft.com/Sharepoint/v3"/>
    <ds:schemaRef ds:uri="http://schemas.microsoft.com/sharepoint/v4"/>
    <ds:schemaRef ds:uri="http://purl.org/dc/terms/"/>
    <ds:schemaRef ds:uri="2fb8e541-c96b-4620-b82c-f319e82f9fb1"/>
    <ds:schemaRef ds:uri="b18ed191-9664-4865-9546-49bc3f5dd49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2d43896-245d-412b-9865-a0e2354e994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213880B-B27C-4698-9DAB-DA53224533A9}">
  <ds:schemaRefs>
    <ds:schemaRef ds:uri="http://schemas.microsoft.com/sharepoint/events"/>
  </ds:schemaRefs>
</ds:datastoreItem>
</file>

<file path=customXml/itemProps4.xml><?xml version="1.0" encoding="utf-8"?>
<ds:datastoreItem xmlns:ds="http://schemas.openxmlformats.org/officeDocument/2006/customXml" ds:itemID="{877F5965-2F51-4836-A798-09D616DBB06D}">
  <ds:schemaRefs>
    <ds:schemaRef ds:uri="http://schemas.microsoft.com/sharepoint/v3/contenttype/forms"/>
  </ds:schemaRefs>
</ds:datastoreItem>
</file>

<file path=customXml/itemProps5.xml><?xml version="1.0" encoding="utf-8"?>
<ds:datastoreItem xmlns:ds="http://schemas.openxmlformats.org/officeDocument/2006/customXml" ds:itemID="{3629E2A6-E470-4577-A716-84BCC182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Strategic Plan Tool</vt:lpstr>
    </vt:vector>
  </TitlesOfParts>
  <Company>DEECD</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Tool</dc:title>
  <dc:creator>Willimott, Andrew G</dc:creator>
  <cp:lastModifiedBy>Darren TRIPPETT</cp:lastModifiedBy>
  <cp:revision>2</cp:revision>
  <cp:lastPrinted>2016-03-14T23:51:00Z</cp:lastPrinted>
  <dcterms:created xsi:type="dcterms:W3CDTF">2017-08-15T05:05:00Z</dcterms:created>
  <dcterms:modified xsi:type="dcterms:W3CDTF">2017-08-15T05:05:00Z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UniqueId">
    <vt:lpwstr>{9985f797-5b6f-4a3f-a10a-60eaab009035}</vt:lpwstr>
  </property>
  <property fmtid="{D5CDD505-2E9C-101B-9397-08002B2CF9AE}" pid="7" name="RecordPoint_ActiveItemWebId">
    <vt:lpwstr>{2fb8e541-c96b-4620-b82c-f319e82f9fb1}</vt:lpwstr>
  </property>
  <property fmtid="{D5CDD505-2E9C-101B-9397-08002B2CF9AE}" pid="8" name="RecordPoint_ActiveItemSiteId">
    <vt:lpwstr>{06caf94d-253e-4f56-bbf8-27ec51f6806e}</vt:lpwstr>
  </property>
  <property fmtid="{D5CDD505-2E9C-101B-9397-08002B2CF9AE}" pid="9" name="RecordPoint_ActiveItemListId">
    <vt:lpwstr>{d2d43896-245d-412b-9865-a0e2354e9942}</vt:lpwstr>
  </property>
  <property fmtid="{D5CDD505-2E9C-101B-9397-08002B2CF9AE}" pid="10" name="RecordPoint_SubmissionCompleted">
    <vt:lpwstr>2016-02-27T20:09:13.7173112+11:00</vt:lpwstr>
  </property>
  <property fmtid="{D5CDD505-2E9C-101B-9397-08002B2CF9AE}" pid="11" name="RecordPoint_RecordNumberSubmitted">
    <vt:lpwstr>R0000168146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